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310B" w14:textId="77777777" w:rsidR="008F00B5" w:rsidRDefault="00B42FB6" w:rsidP="00B42FB6">
      <w:pPr>
        <w:jc w:val="center"/>
        <w:rPr>
          <w:rFonts w:ascii="Times New Roman" w:hAnsi="Times New Roman" w:cs="Times New Roman"/>
          <w:b/>
          <w:sz w:val="24"/>
          <w:szCs w:val="24"/>
        </w:rPr>
      </w:pPr>
      <w:r w:rsidRPr="00B42FB6">
        <w:rPr>
          <w:rFonts w:ascii="Times New Roman" w:hAnsi="Times New Roman" w:cs="Times New Roman"/>
          <w:b/>
          <w:sz w:val="24"/>
          <w:szCs w:val="24"/>
        </w:rPr>
        <w:t>KAPITĀLSABIEDRĪBAS FINANŠU UN NEFINANŠU MĒRĶU REZULTĀTI</w:t>
      </w:r>
    </w:p>
    <w:p w14:paraId="3336383B" w14:textId="0BB1A472" w:rsidR="00B42FB6" w:rsidRDefault="00C81C5E" w:rsidP="00B42FB6">
      <w:pPr>
        <w:jc w:val="center"/>
        <w:rPr>
          <w:rFonts w:ascii="Times New Roman" w:hAnsi="Times New Roman" w:cs="Times New Roman"/>
          <w:b/>
          <w:sz w:val="24"/>
          <w:szCs w:val="24"/>
        </w:rPr>
      </w:pPr>
      <w:r>
        <w:rPr>
          <w:rFonts w:ascii="Times New Roman" w:hAnsi="Times New Roman" w:cs="Times New Roman"/>
          <w:b/>
          <w:sz w:val="24"/>
          <w:szCs w:val="24"/>
        </w:rPr>
        <w:t>202</w:t>
      </w:r>
      <w:r w:rsidR="00D96DAB">
        <w:rPr>
          <w:rFonts w:ascii="Times New Roman" w:hAnsi="Times New Roman" w:cs="Times New Roman"/>
          <w:b/>
          <w:sz w:val="24"/>
          <w:szCs w:val="24"/>
        </w:rPr>
        <w:t>2</w:t>
      </w:r>
      <w:r w:rsidR="00B42FB6">
        <w:rPr>
          <w:rFonts w:ascii="Times New Roman" w:hAnsi="Times New Roman" w:cs="Times New Roman"/>
          <w:b/>
          <w:sz w:val="24"/>
          <w:szCs w:val="24"/>
        </w:rPr>
        <w:t>.</w:t>
      </w:r>
    </w:p>
    <w:p w14:paraId="6BAE73CD" w14:textId="77777777" w:rsidR="00DE7731" w:rsidRDefault="00DE7731" w:rsidP="00B42FB6">
      <w:pPr>
        <w:jc w:val="center"/>
        <w:rPr>
          <w:rFonts w:ascii="Times New Roman" w:hAnsi="Times New Roman" w:cs="Times New Roman"/>
          <w:b/>
          <w:sz w:val="24"/>
          <w:szCs w:val="24"/>
        </w:rPr>
      </w:pPr>
    </w:p>
    <w:p w14:paraId="421802FB" w14:textId="77777777" w:rsidR="00B42FB6" w:rsidRDefault="00B42FB6" w:rsidP="00B42FB6">
      <w:pPr>
        <w:pStyle w:val="Parasts1"/>
        <w:spacing w:line="276" w:lineRule="auto"/>
        <w:outlineLvl w:val="0"/>
        <w:rPr>
          <w:b/>
          <w:szCs w:val="23"/>
        </w:rPr>
      </w:pPr>
      <w:r w:rsidRPr="000B1C66">
        <w:rPr>
          <w:b/>
          <w:szCs w:val="23"/>
        </w:rPr>
        <w:t>Mākslinieciskā darbība, kultūras pakalpojumi</w:t>
      </w:r>
    </w:p>
    <w:p w14:paraId="47A83B0E" w14:textId="77777777" w:rsidR="00DE7731" w:rsidRPr="000B1C66" w:rsidRDefault="00DE7731" w:rsidP="00B42FB6">
      <w:pPr>
        <w:pStyle w:val="Parasts1"/>
        <w:spacing w:line="276" w:lineRule="auto"/>
        <w:outlineLvl w:val="0"/>
        <w:rPr>
          <w:b/>
          <w:szCs w:val="23"/>
        </w:rPr>
      </w:pPr>
    </w:p>
    <w:p w14:paraId="5E5807C1"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sz w:val="18"/>
          <w:szCs w:val="18"/>
        </w:rPr>
        <w:t xml:space="preserve">2022. gadā uzņēmuma darbs bija vērsts gan uz saimniecisko jautājumu risināšanu, gan arī augstvērtīgas un dažādas mākslinieciskās programmas sagatavošanu, atklājot unikālās koncertzāles akustiskās īpašības un piemērotību profesionālajai mākslai dažādos žanros. Latgales vēstniecība GORS ir ne tikai nozīmīga un unikāla kultūras būve ar izcilām akustiskajām koncertzālēm, tas ir arī augstvērtīgas kultūras cienītāju galamērķis, pilsētas un reģiona sociālās vides pozitīvo pārmaiņu sekmētājs, pilsētas popularizētājs, tūristu piesaistes objekts, kā arī vietējās ekonomikas veicinātājs.  </w:t>
      </w:r>
    </w:p>
    <w:p w14:paraId="722E5931" w14:textId="77777777" w:rsidR="007133E8" w:rsidRPr="00A129B3" w:rsidRDefault="007133E8" w:rsidP="007133E8">
      <w:pPr>
        <w:pStyle w:val="Parasts1"/>
        <w:spacing w:line="276" w:lineRule="auto"/>
        <w:ind w:firstLine="720"/>
        <w:jc w:val="both"/>
        <w:outlineLvl w:val="0"/>
        <w:rPr>
          <w:rFonts w:ascii="Tahoma" w:hAnsi="Tahoma" w:cs="Tahoma"/>
          <w:b/>
          <w:sz w:val="18"/>
          <w:szCs w:val="18"/>
        </w:rPr>
      </w:pPr>
      <w:r w:rsidRPr="00A129B3">
        <w:rPr>
          <w:rFonts w:ascii="Tahoma" w:hAnsi="Tahoma" w:cs="Tahoma"/>
          <w:b/>
          <w:sz w:val="18"/>
          <w:szCs w:val="18"/>
        </w:rPr>
        <w:t xml:space="preserve">Saskaņā ar attīstības stratēģiju, viena no Latgales vēstniecības GORS būtiskākajām un svarīgākajām funkcijām ir profesionālās mākslas (koncerti, teātra, dejas mākslas izrādes, skatuves uzvedumi u.c.) pasākumu nodrošinājums. </w:t>
      </w:r>
      <w:r w:rsidRPr="00A129B3">
        <w:rPr>
          <w:rFonts w:ascii="Tahoma" w:hAnsi="Tahoma" w:cs="Tahoma"/>
          <w:sz w:val="18"/>
          <w:szCs w:val="18"/>
        </w:rPr>
        <w:t>2022. gadā SIA “</w:t>
      </w:r>
      <w:proofErr w:type="spellStart"/>
      <w:r w:rsidRPr="00A129B3">
        <w:rPr>
          <w:rFonts w:ascii="Tahoma" w:hAnsi="Tahoma" w:cs="Tahoma"/>
          <w:sz w:val="18"/>
          <w:szCs w:val="18"/>
        </w:rPr>
        <w:t>Austrumlatvijas</w:t>
      </w:r>
      <w:proofErr w:type="spellEnd"/>
      <w:r w:rsidRPr="00A129B3">
        <w:rPr>
          <w:rFonts w:ascii="Tahoma" w:hAnsi="Tahoma" w:cs="Tahoma"/>
          <w:sz w:val="18"/>
          <w:szCs w:val="18"/>
        </w:rPr>
        <w:t xml:space="preserve"> koncertzāle” aktīvi strādāja, lai nodrošinātu dažādu žanru Latvijas un ārvalstu profesionālās skatuves mākslas, mūzikas, vizuālās un jauno mediju mākslas pieejamību kā to paredz gan attīstības stratēģija, gan realizētā ES projekta un VKKF programmu mērķi, gan uzņēmumam deleģētās funkcijas, gan arī saimnieciskie apsvērumi. </w:t>
      </w:r>
    </w:p>
    <w:p w14:paraId="7720A415" w14:textId="77777777" w:rsidR="007133E8" w:rsidRPr="00A129B3" w:rsidRDefault="007133E8" w:rsidP="007133E8">
      <w:pPr>
        <w:pStyle w:val="Parasts1"/>
        <w:spacing w:line="276" w:lineRule="auto"/>
        <w:ind w:firstLine="720"/>
        <w:jc w:val="both"/>
        <w:outlineLvl w:val="0"/>
        <w:rPr>
          <w:rFonts w:ascii="Tahoma" w:hAnsi="Tahoma" w:cs="Tahoma"/>
          <w:b/>
          <w:sz w:val="18"/>
          <w:szCs w:val="18"/>
        </w:rPr>
      </w:pPr>
      <w:r w:rsidRPr="00A129B3">
        <w:rPr>
          <w:rFonts w:ascii="Tahoma" w:hAnsi="Tahoma" w:cs="Tahoma"/>
          <w:sz w:val="18"/>
          <w:szCs w:val="18"/>
        </w:rPr>
        <w:t xml:space="preserve">Latgales vēstniecības GORS darbu 2022.gadā vēl joprojām ietekmēja COVID-19 pandēmijas radītās sekas, kurām 2022.gada 24.februārī pievienojās Krievijas izraisītā kara draudi un neziņa par nākotni. 2022.gads bija pirmais </w:t>
      </w:r>
      <w:proofErr w:type="spellStart"/>
      <w:r w:rsidRPr="00A129B3">
        <w:rPr>
          <w:rFonts w:ascii="Tahoma" w:hAnsi="Tahoma" w:cs="Tahoma"/>
          <w:sz w:val="18"/>
          <w:szCs w:val="18"/>
        </w:rPr>
        <w:t>pēcpandēmijas</w:t>
      </w:r>
      <w:proofErr w:type="spellEnd"/>
      <w:r w:rsidRPr="00A129B3">
        <w:rPr>
          <w:rFonts w:ascii="Tahoma" w:hAnsi="Tahoma" w:cs="Tahoma"/>
          <w:sz w:val="18"/>
          <w:szCs w:val="18"/>
        </w:rPr>
        <w:t xml:space="preserve"> gads, kad cilvēki bez būtiskiem ierobežojumiem varēja apmeklēt kultūras pasākumus. Tomēr COVID-19 pandēmijas sekas un Krievijas izraisītā kara fons ir iemesls, kāpēc 2022.gadā koncertzāles apmeklētāju skaits vēl nesasniedza </w:t>
      </w:r>
      <w:proofErr w:type="spellStart"/>
      <w:r w:rsidRPr="00A129B3">
        <w:rPr>
          <w:rFonts w:ascii="Tahoma" w:hAnsi="Tahoma" w:cs="Tahoma"/>
          <w:sz w:val="18"/>
          <w:szCs w:val="18"/>
        </w:rPr>
        <w:t>pirmskrīzes</w:t>
      </w:r>
      <w:proofErr w:type="spellEnd"/>
      <w:r w:rsidRPr="00A129B3">
        <w:rPr>
          <w:rFonts w:ascii="Tahoma" w:hAnsi="Tahoma" w:cs="Tahoma"/>
          <w:sz w:val="18"/>
          <w:szCs w:val="18"/>
        </w:rPr>
        <w:t xml:space="preserve"> līmeni.</w:t>
      </w:r>
      <w:r w:rsidRPr="00A129B3">
        <w:rPr>
          <w:rFonts w:ascii="Tahoma" w:hAnsi="Tahoma" w:cs="Tahoma"/>
          <w:b/>
          <w:sz w:val="18"/>
          <w:szCs w:val="18"/>
        </w:rPr>
        <w:t xml:space="preserve"> </w:t>
      </w:r>
    </w:p>
    <w:p w14:paraId="3A43C06D"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sz w:val="18"/>
          <w:szCs w:val="18"/>
        </w:rPr>
        <w:t xml:space="preserve">2022.gadā ir notikuši </w:t>
      </w:r>
      <w:r w:rsidRPr="00A129B3">
        <w:rPr>
          <w:rFonts w:ascii="Tahoma" w:hAnsi="Tahoma" w:cs="Tahoma"/>
          <w:b/>
          <w:bCs/>
          <w:sz w:val="18"/>
          <w:szCs w:val="18"/>
        </w:rPr>
        <w:t>108</w:t>
      </w:r>
      <w:r w:rsidRPr="00A129B3">
        <w:rPr>
          <w:rFonts w:ascii="Tahoma" w:hAnsi="Tahoma" w:cs="Tahoma"/>
          <w:b/>
          <w:sz w:val="18"/>
          <w:szCs w:val="18"/>
        </w:rPr>
        <w:t xml:space="preserve"> </w:t>
      </w:r>
      <w:r w:rsidRPr="00A129B3">
        <w:rPr>
          <w:rFonts w:ascii="Tahoma" w:hAnsi="Tahoma" w:cs="Tahoma"/>
          <w:sz w:val="18"/>
          <w:szCs w:val="18"/>
        </w:rPr>
        <w:t xml:space="preserve">(salīdzinājumam, 2019., </w:t>
      </w:r>
      <w:proofErr w:type="spellStart"/>
      <w:r w:rsidRPr="00A129B3">
        <w:rPr>
          <w:rFonts w:ascii="Tahoma" w:hAnsi="Tahoma" w:cs="Tahoma"/>
          <w:sz w:val="18"/>
          <w:szCs w:val="18"/>
        </w:rPr>
        <w:t>pirmskrīzes</w:t>
      </w:r>
      <w:proofErr w:type="spellEnd"/>
      <w:r w:rsidRPr="00A129B3">
        <w:rPr>
          <w:rFonts w:ascii="Tahoma" w:hAnsi="Tahoma" w:cs="Tahoma"/>
          <w:sz w:val="18"/>
          <w:szCs w:val="18"/>
        </w:rPr>
        <w:t xml:space="preserve"> gadā tie bija 161 pasākumi)</w:t>
      </w:r>
      <w:r w:rsidRPr="00A129B3">
        <w:rPr>
          <w:rFonts w:ascii="Tahoma" w:hAnsi="Tahoma" w:cs="Tahoma"/>
          <w:b/>
          <w:sz w:val="18"/>
          <w:szCs w:val="18"/>
        </w:rPr>
        <w:t xml:space="preserve"> dažādu žanru </w:t>
      </w:r>
      <w:r w:rsidRPr="00A129B3">
        <w:rPr>
          <w:rFonts w:ascii="Tahoma" w:hAnsi="Tahoma" w:cs="Tahoma"/>
          <w:b/>
          <w:bCs/>
          <w:sz w:val="18"/>
          <w:szCs w:val="18"/>
        </w:rPr>
        <w:t>Latvijas un ārvalstu profesionālās skatuves mākslas,</w:t>
      </w:r>
      <w:r w:rsidRPr="00A129B3">
        <w:rPr>
          <w:rFonts w:ascii="Tahoma" w:hAnsi="Tahoma" w:cs="Tahoma"/>
          <w:sz w:val="18"/>
          <w:szCs w:val="18"/>
        </w:rPr>
        <w:t xml:space="preserve"> </w:t>
      </w:r>
      <w:r w:rsidRPr="00A129B3">
        <w:rPr>
          <w:rFonts w:ascii="Tahoma" w:hAnsi="Tahoma" w:cs="Tahoma"/>
          <w:b/>
          <w:sz w:val="18"/>
          <w:szCs w:val="18"/>
        </w:rPr>
        <w:t>mūzikas, vizuālās un jauno mediju mākslas pasākumi</w:t>
      </w:r>
      <w:r w:rsidRPr="00A129B3">
        <w:rPr>
          <w:rFonts w:ascii="Tahoma" w:hAnsi="Tahoma" w:cs="Tahoma"/>
          <w:sz w:val="18"/>
          <w:szCs w:val="18"/>
        </w:rPr>
        <w:t xml:space="preserve">, t.sk. </w:t>
      </w:r>
      <w:r w:rsidRPr="00A129B3">
        <w:rPr>
          <w:rFonts w:ascii="Tahoma" w:hAnsi="Tahoma" w:cs="Tahoma"/>
          <w:b/>
          <w:bCs/>
          <w:sz w:val="18"/>
          <w:szCs w:val="18"/>
        </w:rPr>
        <w:t>67 GORS rīkotie profesionālās ievirzes pasākumi</w:t>
      </w:r>
      <w:r w:rsidRPr="00A129B3">
        <w:rPr>
          <w:rFonts w:ascii="Tahoma" w:hAnsi="Tahoma" w:cs="Tahoma"/>
          <w:sz w:val="18"/>
          <w:szCs w:val="18"/>
        </w:rPr>
        <w:t xml:space="preserve"> (2019.gadā - 65), kā arī 48 nomnieku rīkotie pasākumi (galvenokārt </w:t>
      </w:r>
      <w:proofErr w:type="spellStart"/>
      <w:r w:rsidRPr="00A129B3">
        <w:rPr>
          <w:rFonts w:ascii="Tahoma" w:hAnsi="Tahoma" w:cs="Tahoma"/>
          <w:sz w:val="18"/>
          <w:szCs w:val="18"/>
        </w:rPr>
        <w:t>plašizklaides</w:t>
      </w:r>
      <w:proofErr w:type="spellEnd"/>
      <w:r w:rsidRPr="00A129B3">
        <w:rPr>
          <w:rFonts w:ascii="Tahoma" w:hAnsi="Tahoma" w:cs="Tahoma"/>
          <w:sz w:val="18"/>
          <w:szCs w:val="18"/>
        </w:rPr>
        <w:t xml:space="preserve"> pasākumi). 2022.gadā ir notikusi atgriešanās pie stratēģijā paredzētās proporcijas – 60% profesionālā māksla un mūzika, 40 % </w:t>
      </w:r>
      <w:proofErr w:type="spellStart"/>
      <w:r w:rsidRPr="00A129B3">
        <w:rPr>
          <w:rFonts w:ascii="Tahoma" w:hAnsi="Tahoma" w:cs="Tahoma"/>
          <w:sz w:val="18"/>
          <w:szCs w:val="18"/>
        </w:rPr>
        <w:t>plašizklaide</w:t>
      </w:r>
      <w:proofErr w:type="spellEnd"/>
    </w:p>
    <w:p w14:paraId="5439E6BE"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b/>
          <w:sz w:val="18"/>
          <w:szCs w:val="18"/>
        </w:rPr>
        <w:t>Latgales vēstniecība GORS 2022. gadā vēl arvien bija viens no svarīgākajiem tūrisma galamērķiem Latgales pusē, GORS iespējas bija mākslinieciskajā aspektā pievilcīgas gan Latvijas, gan arī ārvalstu mūzikas kolektīviem un māksliniekiem.</w:t>
      </w:r>
      <w:r w:rsidRPr="00A129B3">
        <w:rPr>
          <w:rFonts w:ascii="Tahoma" w:hAnsi="Tahoma" w:cs="Tahoma"/>
          <w:sz w:val="18"/>
          <w:szCs w:val="18"/>
        </w:rPr>
        <w:t xml:space="preserve"> </w:t>
      </w:r>
      <w:r w:rsidRPr="00A129B3">
        <w:rPr>
          <w:rFonts w:ascii="Tahoma" w:hAnsi="Tahoma" w:cs="Tahoma"/>
          <w:bCs/>
          <w:sz w:val="18"/>
          <w:szCs w:val="18"/>
        </w:rPr>
        <w:t xml:space="preserve">2022. gadā uz GORS skatuves ir uzstājušies mūziķi no Latvijas, Austrijas, Vācijas, Francijas, Itālijas, Gruzijas, Brazīlijas, Kaboverdes, Krievijas, Nīderlandes, ASV, Portugāles, Meksikas un Armēnijas. Viņu vidū daudzi starptautisku atzinību guvuši mūziķi un kolektīvi: </w:t>
      </w:r>
      <w:r w:rsidRPr="00A129B3">
        <w:rPr>
          <w:rFonts w:ascii="Tahoma" w:hAnsi="Tahoma" w:cs="Tahoma"/>
          <w:sz w:val="18"/>
          <w:szCs w:val="18"/>
        </w:rPr>
        <w:t>Latvijas Radio koris, Valsts akadēmiskais koris “Latvija”, Latvijas Nacionālais Simfoniskais orķestris, kamerorķestris “</w:t>
      </w:r>
      <w:proofErr w:type="spellStart"/>
      <w:r w:rsidRPr="00A129B3">
        <w:rPr>
          <w:rFonts w:ascii="Tahoma" w:hAnsi="Tahoma" w:cs="Tahoma"/>
          <w:sz w:val="18"/>
          <w:szCs w:val="18"/>
        </w:rPr>
        <w:t>Sinfonietta</w:t>
      </w:r>
      <w:proofErr w:type="spellEnd"/>
      <w:r w:rsidRPr="00A129B3">
        <w:rPr>
          <w:rFonts w:ascii="Tahoma" w:hAnsi="Tahoma" w:cs="Tahoma"/>
          <w:sz w:val="18"/>
          <w:szCs w:val="18"/>
        </w:rPr>
        <w:t xml:space="preserve"> Rīga”, “</w:t>
      </w:r>
      <w:proofErr w:type="spellStart"/>
      <w:r w:rsidRPr="00A129B3">
        <w:rPr>
          <w:rFonts w:ascii="Tahoma" w:hAnsi="Tahoma" w:cs="Tahoma"/>
          <w:sz w:val="18"/>
          <w:szCs w:val="18"/>
        </w:rPr>
        <w:t>Kremerata</w:t>
      </w:r>
      <w:proofErr w:type="spellEnd"/>
      <w:r w:rsidRPr="00A129B3">
        <w:rPr>
          <w:rFonts w:ascii="Tahoma" w:hAnsi="Tahoma" w:cs="Tahoma"/>
          <w:sz w:val="18"/>
          <w:szCs w:val="18"/>
        </w:rPr>
        <w:t xml:space="preserve"> </w:t>
      </w:r>
      <w:proofErr w:type="spellStart"/>
      <w:r w:rsidRPr="00A129B3">
        <w:rPr>
          <w:rFonts w:ascii="Tahoma" w:hAnsi="Tahoma" w:cs="Tahoma"/>
          <w:sz w:val="18"/>
          <w:szCs w:val="18"/>
        </w:rPr>
        <w:t>Baltica</w:t>
      </w:r>
      <w:proofErr w:type="spellEnd"/>
      <w:r w:rsidRPr="00A129B3">
        <w:rPr>
          <w:rFonts w:ascii="Tahoma" w:hAnsi="Tahoma" w:cs="Tahoma"/>
          <w:sz w:val="18"/>
          <w:szCs w:val="18"/>
        </w:rPr>
        <w:t>”, Portugāles deju kompānija “</w:t>
      </w:r>
      <w:proofErr w:type="spellStart"/>
      <w:r w:rsidRPr="00A129B3">
        <w:rPr>
          <w:rFonts w:ascii="Tahoma" w:hAnsi="Tahoma" w:cs="Tahoma"/>
          <w:sz w:val="18"/>
          <w:szCs w:val="18"/>
        </w:rPr>
        <w:t>Quorum</w:t>
      </w:r>
      <w:proofErr w:type="spellEnd"/>
      <w:r w:rsidRPr="00A129B3">
        <w:rPr>
          <w:rFonts w:ascii="Tahoma" w:hAnsi="Tahoma" w:cs="Tahoma"/>
          <w:sz w:val="18"/>
          <w:szCs w:val="18"/>
        </w:rPr>
        <w:t xml:space="preserve"> </w:t>
      </w:r>
      <w:proofErr w:type="spellStart"/>
      <w:r w:rsidRPr="00A129B3">
        <w:rPr>
          <w:rFonts w:ascii="Tahoma" w:hAnsi="Tahoma" w:cs="Tahoma"/>
          <w:sz w:val="18"/>
          <w:szCs w:val="18"/>
        </w:rPr>
        <w:t>Ballet</w:t>
      </w:r>
      <w:proofErr w:type="spellEnd"/>
      <w:r w:rsidRPr="00A129B3">
        <w:rPr>
          <w:rFonts w:ascii="Tahoma" w:hAnsi="Tahoma" w:cs="Tahoma"/>
          <w:sz w:val="18"/>
          <w:szCs w:val="18"/>
        </w:rPr>
        <w:t xml:space="preserve">”, džeza mūziķu apvienība NAISAM JALLAL, Gruzijas Karaliskais Nacionālais balets, deju ansamblis “Daiļrade, jaukais koris “Balsis”, soliste Sonora Vaice, pianisti Andrejs </w:t>
      </w:r>
      <w:proofErr w:type="spellStart"/>
      <w:r w:rsidRPr="00A129B3">
        <w:rPr>
          <w:rFonts w:ascii="Tahoma" w:hAnsi="Tahoma" w:cs="Tahoma"/>
          <w:sz w:val="18"/>
          <w:szCs w:val="18"/>
        </w:rPr>
        <w:t>Osokins</w:t>
      </w:r>
      <w:proofErr w:type="spellEnd"/>
      <w:r w:rsidRPr="00A129B3">
        <w:rPr>
          <w:rFonts w:ascii="Tahoma" w:hAnsi="Tahoma" w:cs="Tahoma"/>
          <w:sz w:val="18"/>
          <w:szCs w:val="18"/>
        </w:rPr>
        <w:t xml:space="preserve">, Georgijs </w:t>
      </w:r>
      <w:proofErr w:type="spellStart"/>
      <w:r w:rsidRPr="00A129B3">
        <w:rPr>
          <w:rFonts w:ascii="Tahoma" w:hAnsi="Tahoma" w:cs="Tahoma"/>
          <w:sz w:val="18"/>
          <w:szCs w:val="18"/>
        </w:rPr>
        <w:t>Osokins</w:t>
      </w:r>
      <w:proofErr w:type="spellEnd"/>
      <w:r w:rsidRPr="00A129B3">
        <w:rPr>
          <w:rFonts w:ascii="Tahoma" w:hAnsi="Tahoma" w:cs="Tahoma"/>
          <w:sz w:val="18"/>
          <w:szCs w:val="18"/>
        </w:rPr>
        <w:t xml:space="preserve">, Reinis Zariņš, Arta </w:t>
      </w:r>
      <w:proofErr w:type="spellStart"/>
      <w:r w:rsidRPr="00A129B3">
        <w:rPr>
          <w:rFonts w:ascii="Tahoma" w:hAnsi="Tahoma" w:cs="Tahoma"/>
          <w:sz w:val="18"/>
          <w:szCs w:val="18"/>
        </w:rPr>
        <w:t>Arnicāne</w:t>
      </w:r>
      <w:proofErr w:type="spellEnd"/>
      <w:r w:rsidRPr="00A129B3">
        <w:rPr>
          <w:rFonts w:ascii="Tahoma" w:hAnsi="Tahoma" w:cs="Tahoma"/>
          <w:sz w:val="18"/>
          <w:szCs w:val="18"/>
        </w:rPr>
        <w:t xml:space="preserve">, trompetists Romēns </w:t>
      </w:r>
      <w:proofErr w:type="spellStart"/>
      <w:r w:rsidRPr="00A129B3">
        <w:rPr>
          <w:rFonts w:ascii="Tahoma" w:hAnsi="Tahoma" w:cs="Tahoma"/>
          <w:sz w:val="18"/>
          <w:szCs w:val="18"/>
        </w:rPr>
        <w:t>Lelē</w:t>
      </w:r>
      <w:proofErr w:type="spellEnd"/>
      <w:r w:rsidRPr="00A129B3">
        <w:rPr>
          <w:rFonts w:ascii="Tahoma" w:hAnsi="Tahoma" w:cs="Tahoma"/>
          <w:sz w:val="18"/>
          <w:szCs w:val="18"/>
        </w:rPr>
        <w:t xml:space="preserve">, vijolnieki Vineta </w:t>
      </w:r>
      <w:proofErr w:type="spellStart"/>
      <w:r w:rsidRPr="00A129B3">
        <w:rPr>
          <w:rFonts w:ascii="Tahoma" w:hAnsi="Tahoma" w:cs="Tahoma"/>
          <w:sz w:val="18"/>
          <w:szCs w:val="18"/>
        </w:rPr>
        <w:t>Sareika</w:t>
      </w:r>
      <w:proofErr w:type="spellEnd"/>
      <w:r w:rsidRPr="00A129B3">
        <w:rPr>
          <w:rFonts w:ascii="Tahoma" w:hAnsi="Tahoma" w:cs="Tahoma"/>
          <w:sz w:val="18"/>
          <w:szCs w:val="18"/>
        </w:rPr>
        <w:t xml:space="preserve"> un </w:t>
      </w:r>
      <w:proofErr w:type="spellStart"/>
      <w:r w:rsidRPr="00A129B3">
        <w:rPr>
          <w:rFonts w:ascii="Tahoma" w:hAnsi="Tahoma" w:cs="Tahoma"/>
          <w:sz w:val="18"/>
          <w:szCs w:val="18"/>
        </w:rPr>
        <w:t>Gidons</w:t>
      </w:r>
      <w:proofErr w:type="spellEnd"/>
      <w:r w:rsidRPr="00A129B3">
        <w:rPr>
          <w:rFonts w:ascii="Tahoma" w:hAnsi="Tahoma" w:cs="Tahoma"/>
          <w:sz w:val="18"/>
          <w:szCs w:val="18"/>
        </w:rPr>
        <w:t xml:space="preserve"> Krēmers, ērģelnieces Iveta Apkalna un Mona </w:t>
      </w:r>
      <w:proofErr w:type="spellStart"/>
      <w:r w:rsidRPr="00A129B3">
        <w:rPr>
          <w:rFonts w:ascii="Tahoma" w:hAnsi="Tahoma" w:cs="Tahoma"/>
          <w:sz w:val="18"/>
          <w:szCs w:val="18"/>
        </w:rPr>
        <w:t>Rozdestvenskyte</w:t>
      </w:r>
      <w:proofErr w:type="spellEnd"/>
      <w:r w:rsidRPr="00A129B3">
        <w:rPr>
          <w:rFonts w:ascii="Tahoma" w:hAnsi="Tahoma" w:cs="Tahoma"/>
          <w:sz w:val="18"/>
          <w:szCs w:val="18"/>
        </w:rPr>
        <w:t xml:space="preserve">, diriģenti  Guntis </w:t>
      </w:r>
      <w:proofErr w:type="spellStart"/>
      <w:r w:rsidRPr="00A129B3">
        <w:rPr>
          <w:rFonts w:ascii="Tahoma" w:hAnsi="Tahoma" w:cs="Tahoma"/>
          <w:sz w:val="18"/>
          <w:szCs w:val="18"/>
        </w:rPr>
        <w:t>Kuzma</w:t>
      </w:r>
      <w:proofErr w:type="spellEnd"/>
      <w:r w:rsidRPr="00A129B3">
        <w:rPr>
          <w:rFonts w:ascii="Tahoma" w:hAnsi="Tahoma" w:cs="Tahoma"/>
          <w:sz w:val="18"/>
          <w:szCs w:val="18"/>
        </w:rPr>
        <w:t xml:space="preserve">, Normunds Šnē, Māris Sirmais, Vasilijs </w:t>
      </w:r>
      <w:proofErr w:type="spellStart"/>
      <w:r w:rsidRPr="00A129B3">
        <w:rPr>
          <w:rFonts w:ascii="Tahoma" w:hAnsi="Tahoma" w:cs="Tahoma"/>
          <w:sz w:val="18"/>
          <w:szCs w:val="18"/>
        </w:rPr>
        <w:t>Sinaiskis</w:t>
      </w:r>
      <w:proofErr w:type="spellEnd"/>
      <w:r w:rsidRPr="00A129B3">
        <w:rPr>
          <w:rFonts w:ascii="Tahoma" w:hAnsi="Tahoma" w:cs="Tahoma"/>
          <w:sz w:val="18"/>
          <w:szCs w:val="18"/>
        </w:rPr>
        <w:t xml:space="preserve">, Sigvards Kļava, ATMOSFĒRU sērijas mūziķi Pablo Helds, Līvas Dumpes kvintets, </w:t>
      </w:r>
      <w:proofErr w:type="spellStart"/>
      <w:r w:rsidRPr="00A129B3">
        <w:rPr>
          <w:rFonts w:ascii="Tahoma" w:hAnsi="Tahoma" w:cs="Tahoma"/>
          <w:sz w:val="18"/>
          <w:szCs w:val="18"/>
        </w:rPr>
        <w:t>Sam</w:t>
      </w:r>
      <w:proofErr w:type="spellEnd"/>
      <w:r w:rsidRPr="00A129B3">
        <w:rPr>
          <w:rFonts w:ascii="Tahoma" w:hAnsi="Tahoma" w:cs="Tahoma"/>
          <w:sz w:val="18"/>
          <w:szCs w:val="18"/>
        </w:rPr>
        <w:t xml:space="preserve"> </w:t>
      </w:r>
      <w:proofErr w:type="spellStart"/>
      <w:r w:rsidRPr="00A129B3">
        <w:rPr>
          <w:rFonts w:ascii="Tahoma" w:hAnsi="Tahoma" w:cs="Tahoma"/>
          <w:sz w:val="18"/>
          <w:szCs w:val="18"/>
        </w:rPr>
        <w:t>Amidon</w:t>
      </w:r>
      <w:proofErr w:type="spellEnd"/>
      <w:r w:rsidRPr="00A129B3">
        <w:rPr>
          <w:rFonts w:ascii="Tahoma" w:hAnsi="Tahoma" w:cs="Tahoma"/>
          <w:sz w:val="18"/>
          <w:szCs w:val="18"/>
        </w:rPr>
        <w:t xml:space="preserve"> trio, </w:t>
      </w:r>
      <w:proofErr w:type="spellStart"/>
      <w:r w:rsidRPr="00A129B3">
        <w:rPr>
          <w:rFonts w:ascii="Tahoma" w:hAnsi="Tahoma" w:cs="Tahoma"/>
          <w:sz w:val="18"/>
          <w:szCs w:val="18"/>
        </w:rPr>
        <w:t>Fuensanta</w:t>
      </w:r>
      <w:proofErr w:type="spellEnd"/>
      <w:r w:rsidRPr="00A129B3">
        <w:rPr>
          <w:rFonts w:ascii="Tahoma" w:hAnsi="Tahoma" w:cs="Tahoma"/>
          <w:sz w:val="18"/>
          <w:szCs w:val="18"/>
        </w:rPr>
        <w:t xml:space="preserve"> </w:t>
      </w:r>
      <w:proofErr w:type="spellStart"/>
      <w:r w:rsidRPr="00A129B3">
        <w:rPr>
          <w:rFonts w:ascii="Tahoma" w:hAnsi="Tahoma" w:cs="Tahoma"/>
          <w:sz w:val="18"/>
          <w:szCs w:val="18"/>
        </w:rPr>
        <w:t>Mendes</w:t>
      </w:r>
      <w:proofErr w:type="spellEnd"/>
      <w:r w:rsidRPr="00A129B3">
        <w:rPr>
          <w:rFonts w:ascii="Tahoma" w:hAnsi="Tahoma" w:cs="Tahoma"/>
          <w:sz w:val="18"/>
          <w:szCs w:val="18"/>
        </w:rPr>
        <w:t xml:space="preserve">, Edgars Cīrulis. Arī Jānis Lūsēns, Uldis </w:t>
      </w:r>
      <w:proofErr w:type="spellStart"/>
      <w:r w:rsidRPr="00A129B3">
        <w:rPr>
          <w:rFonts w:ascii="Tahoma" w:hAnsi="Tahoma" w:cs="Tahoma"/>
          <w:sz w:val="18"/>
          <w:szCs w:val="18"/>
        </w:rPr>
        <w:t>Marhilevičs</w:t>
      </w:r>
      <w:proofErr w:type="spellEnd"/>
      <w:r w:rsidRPr="00A129B3">
        <w:rPr>
          <w:rFonts w:ascii="Tahoma" w:hAnsi="Tahoma" w:cs="Tahoma"/>
          <w:sz w:val="18"/>
          <w:szCs w:val="18"/>
        </w:rPr>
        <w:t xml:space="preserve">, Igo, Zigfrīds Muktupāvels, Olga Rajecka, Boriss </w:t>
      </w:r>
      <w:proofErr w:type="spellStart"/>
      <w:r w:rsidRPr="00A129B3">
        <w:rPr>
          <w:rFonts w:ascii="Tahoma" w:hAnsi="Tahoma" w:cs="Tahoma"/>
          <w:sz w:val="18"/>
          <w:szCs w:val="18"/>
        </w:rPr>
        <w:t>Grebenščikovs</w:t>
      </w:r>
      <w:proofErr w:type="spellEnd"/>
      <w:r w:rsidRPr="00A129B3">
        <w:rPr>
          <w:rFonts w:ascii="Tahoma" w:hAnsi="Tahoma" w:cs="Tahoma"/>
          <w:sz w:val="18"/>
          <w:szCs w:val="18"/>
        </w:rPr>
        <w:t xml:space="preserve">, </w:t>
      </w:r>
      <w:proofErr w:type="spellStart"/>
      <w:r w:rsidRPr="00A129B3">
        <w:rPr>
          <w:rFonts w:ascii="Tahoma" w:hAnsi="Tahoma" w:cs="Tahoma"/>
          <w:sz w:val="18"/>
          <w:szCs w:val="18"/>
        </w:rPr>
        <w:t>Maksims</w:t>
      </w:r>
      <w:proofErr w:type="spellEnd"/>
      <w:r w:rsidRPr="00A129B3">
        <w:rPr>
          <w:rFonts w:ascii="Tahoma" w:hAnsi="Tahoma" w:cs="Tahoma"/>
          <w:sz w:val="18"/>
          <w:szCs w:val="18"/>
        </w:rPr>
        <w:t xml:space="preserve"> Galkins, Ainars </w:t>
      </w:r>
      <w:proofErr w:type="spellStart"/>
      <w:r w:rsidRPr="00A129B3">
        <w:rPr>
          <w:rFonts w:ascii="Tahoma" w:hAnsi="Tahoma" w:cs="Tahoma"/>
          <w:sz w:val="18"/>
          <w:szCs w:val="18"/>
        </w:rPr>
        <w:t>Mielavs</w:t>
      </w:r>
      <w:proofErr w:type="spellEnd"/>
      <w:r w:rsidRPr="00A129B3">
        <w:rPr>
          <w:rFonts w:ascii="Tahoma" w:hAnsi="Tahoma" w:cs="Tahoma"/>
          <w:sz w:val="18"/>
          <w:szCs w:val="18"/>
        </w:rPr>
        <w:t xml:space="preserve">, aktieri Gundars Āboliņš, Dita Lūriņa, </w:t>
      </w:r>
      <w:proofErr w:type="spellStart"/>
      <w:r w:rsidRPr="00A129B3">
        <w:rPr>
          <w:rFonts w:ascii="Tahoma" w:hAnsi="Tahoma" w:cs="Tahoma"/>
          <w:sz w:val="18"/>
          <w:szCs w:val="18"/>
        </w:rPr>
        <w:t>Čulpana</w:t>
      </w:r>
      <w:proofErr w:type="spellEnd"/>
      <w:r w:rsidRPr="00A129B3">
        <w:rPr>
          <w:rFonts w:ascii="Tahoma" w:hAnsi="Tahoma" w:cs="Tahoma"/>
          <w:sz w:val="18"/>
          <w:szCs w:val="18"/>
        </w:rPr>
        <w:t xml:space="preserve"> </w:t>
      </w:r>
      <w:proofErr w:type="spellStart"/>
      <w:r w:rsidRPr="00A129B3">
        <w:rPr>
          <w:rFonts w:ascii="Tahoma" w:hAnsi="Tahoma" w:cs="Tahoma"/>
          <w:sz w:val="18"/>
          <w:szCs w:val="18"/>
        </w:rPr>
        <w:t>hamatova</w:t>
      </w:r>
      <w:proofErr w:type="spellEnd"/>
      <w:r w:rsidRPr="00A129B3">
        <w:rPr>
          <w:rFonts w:ascii="Tahoma" w:hAnsi="Tahoma" w:cs="Tahoma"/>
          <w:sz w:val="18"/>
          <w:szCs w:val="18"/>
        </w:rPr>
        <w:t>, Ģirts Krūmiņš un citi. Tāpat uz Latgales vēstniecības GORS skatuves uzstājušies vairāki Latvijas popmūzikas mākslinieki – grupas “Labvēlīgais tips”, “</w:t>
      </w:r>
      <w:proofErr w:type="spellStart"/>
      <w:r w:rsidRPr="00A129B3">
        <w:rPr>
          <w:rFonts w:ascii="Tahoma" w:hAnsi="Tahoma" w:cs="Tahoma"/>
          <w:sz w:val="18"/>
          <w:szCs w:val="18"/>
        </w:rPr>
        <w:t>Raxtu</w:t>
      </w:r>
      <w:proofErr w:type="spellEnd"/>
      <w:r w:rsidRPr="00A129B3">
        <w:rPr>
          <w:rFonts w:ascii="Tahoma" w:hAnsi="Tahoma" w:cs="Tahoma"/>
          <w:sz w:val="18"/>
          <w:szCs w:val="18"/>
        </w:rPr>
        <w:t xml:space="preserve"> </w:t>
      </w:r>
      <w:proofErr w:type="spellStart"/>
      <w:r w:rsidRPr="00A129B3">
        <w:rPr>
          <w:rFonts w:ascii="Tahoma" w:hAnsi="Tahoma" w:cs="Tahoma"/>
          <w:sz w:val="18"/>
          <w:szCs w:val="18"/>
        </w:rPr>
        <w:t>raxti</w:t>
      </w:r>
      <w:proofErr w:type="spellEnd"/>
      <w:r w:rsidRPr="00A129B3">
        <w:rPr>
          <w:rFonts w:ascii="Tahoma" w:hAnsi="Tahoma" w:cs="Tahoma"/>
          <w:sz w:val="18"/>
          <w:szCs w:val="18"/>
        </w:rPr>
        <w:t xml:space="preserve">”, “Bet </w:t>
      </w:r>
      <w:proofErr w:type="spellStart"/>
      <w:r w:rsidRPr="00A129B3">
        <w:rPr>
          <w:rFonts w:ascii="Tahoma" w:hAnsi="Tahoma" w:cs="Tahoma"/>
          <w:sz w:val="18"/>
          <w:szCs w:val="18"/>
        </w:rPr>
        <w:t>Bet</w:t>
      </w:r>
      <w:proofErr w:type="spellEnd"/>
      <w:r w:rsidRPr="00A129B3">
        <w:rPr>
          <w:rFonts w:ascii="Tahoma" w:hAnsi="Tahoma" w:cs="Tahoma"/>
          <w:sz w:val="18"/>
          <w:szCs w:val="18"/>
        </w:rPr>
        <w:t>”, “</w:t>
      </w:r>
      <w:proofErr w:type="spellStart"/>
      <w:r w:rsidRPr="00A129B3">
        <w:rPr>
          <w:rFonts w:ascii="Tahoma" w:hAnsi="Tahoma" w:cs="Tahoma"/>
          <w:sz w:val="18"/>
          <w:szCs w:val="18"/>
        </w:rPr>
        <w:t>Musiqq</w:t>
      </w:r>
      <w:proofErr w:type="spellEnd"/>
      <w:r w:rsidRPr="00A129B3">
        <w:rPr>
          <w:rFonts w:ascii="Tahoma" w:hAnsi="Tahoma" w:cs="Tahoma"/>
          <w:sz w:val="18"/>
          <w:szCs w:val="18"/>
        </w:rPr>
        <w:t>”, “Ezeri”,  “Klaidonis”, “Baritoni”, projekti “Tev tuvumā” un “</w:t>
      </w:r>
      <w:proofErr w:type="spellStart"/>
      <w:r w:rsidRPr="00A129B3">
        <w:rPr>
          <w:rFonts w:ascii="Tahoma" w:hAnsi="Tahoma" w:cs="Tahoma"/>
          <w:sz w:val="18"/>
          <w:szCs w:val="18"/>
        </w:rPr>
        <w:t>Tutas</w:t>
      </w:r>
      <w:proofErr w:type="spellEnd"/>
      <w:r w:rsidRPr="00A129B3">
        <w:rPr>
          <w:rFonts w:ascii="Tahoma" w:hAnsi="Tahoma" w:cs="Tahoma"/>
          <w:sz w:val="18"/>
          <w:szCs w:val="18"/>
        </w:rPr>
        <w:t xml:space="preserve"> lietas” un citi. </w:t>
      </w:r>
    </w:p>
    <w:p w14:paraId="4C55FC5C" w14:textId="77777777" w:rsidR="007133E8" w:rsidRPr="00A129B3" w:rsidRDefault="007133E8" w:rsidP="007133E8">
      <w:pPr>
        <w:pStyle w:val="Parasts1"/>
        <w:spacing w:line="276" w:lineRule="auto"/>
        <w:ind w:firstLine="720"/>
        <w:jc w:val="both"/>
        <w:outlineLvl w:val="0"/>
        <w:rPr>
          <w:rFonts w:ascii="Tahoma" w:hAnsi="Tahoma" w:cs="Tahoma"/>
          <w:bCs/>
          <w:sz w:val="18"/>
          <w:szCs w:val="18"/>
        </w:rPr>
      </w:pPr>
      <w:r w:rsidRPr="00A129B3">
        <w:rPr>
          <w:rFonts w:ascii="Tahoma" w:hAnsi="Tahoma" w:cs="Tahoma"/>
          <w:bCs/>
          <w:sz w:val="18"/>
          <w:szCs w:val="18"/>
        </w:rPr>
        <w:t>Lielu interesi izraisīja</w:t>
      </w:r>
      <w:r w:rsidRPr="00A129B3">
        <w:rPr>
          <w:rFonts w:ascii="Tahoma" w:hAnsi="Tahoma" w:cs="Tahoma"/>
          <w:b/>
          <w:sz w:val="18"/>
          <w:szCs w:val="18"/>
        </w:rPr>
        <w:t xml:space="preserve"> unikālie Latgales vēstniecībā GORS notiekošie pasākumi</w:t>
      </w:r>
      <w:r w:rsidRPr="00A129B3">
        <w:rPr>
          <w:rFonts w:ascii="Tahoma" w:hAnsi="Tahoma" w:cs="Tahoma"/>
          <w:sz w:val="18"/>
          <w:szCs w:val="18"/>
        </w:rPr>
        <w:t xml:space="preserve"> – Latgaliešu kultūras gada balvas “Boņuks” ceremonija ar tiešraidi LTV1, 5/6. Starptautiskais ērģeļmūzikas festivāls “</w:t>
      </w:r>
      <w:proofErr w:type="spellStart"/>
      <w:r w:rsidRPr="00A129B3">
        <w:rPr>
          <w:rFonts w:ascii="Tahoma" w:hAnsi="Tahoma" w:cs="Tahoma"/>
          <w:sz w:val="18"/>
          <w:szCs w:val="18"/>
        </w:rPr>
        <w:t>ORGANismi</w:t>
      </w:r>
      <w:proofErr w:type="spellEnd"/>
      <w:r w:rsidRPr="00A129B3">
        <w:rPr>
          <w:rFonts w:ascii="Tahoma" w:hAnsi="Tahoma" w:cs="Tahoma"/>
          <w:sz w:val="18"/>
          <w:szCs w:val="18"/>
        </w:rPr>
        <w:t xml:space="preserve">”, četru koncertu un meistarklašu cikls “ATMOSFĒRAS”, </w:t>
      </w:r>
      <w:proofErr w:type="spellStart"/>
      <w:r w:rsidRPr="00A129B3">
        <w:rPr>
          <w:rFonts w:ascii="Tahoma" w:hAnsi="Tahoma" w:cs="Tahoma"/>
          <w:sz w:val="18"/>
          <w:szCs w:val="18"/>
        </w:rPr>
        <w:t>koncertuzvedums</w:t>
      </w:r>
      <w:proofErr w:type="spellEnd"/>
      <w:r w:rsidRPr="00A129B3">
        <w:rPr>
          <w:rFonts w:ascii="Tahoma" w:hAnsi="Tahoma" w:cs="Tahoma"/>
          <w:sz w:val="18"/>
          <w:szCs w:val="18"/>
        </w:rPr>
        <w:t xml:space="preserve"> “Ķiršu koks”. </w:t>
      </w:r>
      <w:r w:rsidRPr="00A129B3">
        <w:rPr>
          <w:rFonts w:ascii="Tahoma" w:hAnsi="Tahoma" w:cs="Tahoma"/>
          <w:bCs/>
          <w:sz w:val="18"/>
          <w:szCs w:val="18"/>
        </w:rPr>
        <w:t xml:space="preserve">Plašu rezonansi guva arī Latgales vēstniecībā GORS rīkotais Latgales kongress, “Dod pieci” Labdarības koncerts ar tiešraidi LTV1, Satversmes svētki Rēzeknē, Sporta deju pasākums “Latgales kauss 2022” </w:t>
      </w:r>
    </w:p>
    <w:p w14:paraId="19BF407F" w14:textId="77777777" w:rsidR="007133E8" w:rsidRPr="00A129B3" w:rsidRDefault="007133E8" w:rsidP="007133E8">
      <w:pPr>
        <w:pStyle w:val="Parasts1"/>
        <w:spacing w:line="276" w:lineRule="auto"/>
        <w:ind w:firstLine="720"/>
        <w:jc w:val="both"/>
        <w:outlineLvl w:val="0"/>
        <w:rPr>
          <w:rFonts w:ascii="Tahoma" w:hAnsi="Tahoma" w:cs="Tahoma"/>
          <w:bCs/>
          <w:sz w:val="18"/>
          <w:szCs w:val="18"/>
        </w:rPr>
      </w:pPr>
      <w:r w:rsidRPr="00A129B3">
        <w:rPr>
          <w:rFonts w:ascii="Tahoma" w:hAnsi="Tahoma" w:cs="Tahoma"/>
          <w:bCs/>
          <w:sz w:val="18"/>
          <w:szCs w:val="18"/>
        </w:rPr>
        <w:t xml:space="preserve">Vairāki 2022.gadā GORS izskanējušie koncerti tika </w:t>
      </w:r>
      <w:r w:rsidRPr="00A129B3">
        <w:rPr>
          <w:rFonts w:ascii="Tahoma" w:hAnsi="Tahoma" w:cs="Tahoma"/>
          <w:b/>
          <w:sz w:val="18"/>
          <w:szCs w:val="18"/>
        </w:rPr>
        <w:t xml:space="preserve">pieteikti arī  Lielās Mūzikas balvas nominācijai </w:t>
      </w:r>
      <w:r w:rsidRPr="00A129B3">
        <w:rPr>
          <w:rFonts w:ascii="Tahoma" w:hAnsi="Tahoma" w:cs="Tahoma"/>
          <w:bCs/>
          <w:sz w:val="18"/>
          <w:szCs w:val="18"/>
        </w:rPr>
        <w:t>(</w:t>
      </w:r>
      <w:r w:rsidRPr="00A129B3">
        <w:rPr>
          <w:rStyle w:val="Strong"/>
          <w:rFonts w:ascii="Tahoma" w:hAnsi="Tahoma" w:cs="Tahoma"/>
          <w:sz w:val="18"/>
          <w:szCs w:val="18"/>
          <w:bdr w:val="none" w:sz="0" w:space="0" w:color="auto" w:frame="1"/>
          <w:shd w:val="clear" w:color="auto" w:fill="FFFFFF"/>
        </w:rPr>
        <w:t xml:space="preserve">Vineta </w:t>
      </w:r>
      <w:proofErr w:type="spellStart"/>
      <w:r w:rsidRPr="00A129B3">
        <w:rPr>
          <w:rStyle w:val="Strong"/>
          <w:rFonts w:ascii="Tahoma" w:hAnsi="Tahoma" w:cs="Tahoma"/>
          <w:sz w:val="18"/>
          <w:szCs w:val="18"/>
          <w:bdr w:val="none" w:sz="0" w:space="0" w:color="auto" w:frame="1"/>
          <w:shd w:val="clear" w:color="auto" w:fill="FFFFFF"/>
        </w:rPr>
        <w:t>Sareika</w:t>
      </w:r>
      <w:proofErr w:type="spellEnd"/>
      <w:r w:rsidRPr="00A129B3">
        <w:rPr>
          <w:rFonts w:ascii="Tahoma" w:hAnsi="Tahoma" w:cs="Tahoma"/>
          <w:b/>
          <w:sz w:val="18"/>
          <w:szCs w:val="18"/>
          <w:shd w:val="clear" w:color="auto" w:fill="FFFFFF"/>
        </w:rPr>
        <w:t> –</w:t>
      </w:r>
      <w:r w:rsidRPr="00A129B3">
        <w:rPr>
          <w:rFonts w:ascii="Tahoma" w:hAnsi="Tahoma" w:cs="Tahoma"/>
          <w:bCs/>
          <w:sz w:val="18"/>
          <w:szCs w:val="18"/>
          <w:shd w:val="clear" w:color="auto" w:fill="FFFFFF"/>
        </w:rPr>
        <w:t xml:space="preserve"> Johannesa Brāmsa Koncerts vijolei un orķestrim kopā ar Valsts kamerorķestri </w:t>
      </w:r>
      <w:proofErr w:type="spellStart"/>
      <w:r w:rsidRPr="00A129B3">
        <w:rPr>
          <w:rFonts w:ascii="Tahoma" w:hAnsi="Tahoma" w:cs="Tahoma"/>
          <w:bCs/>
          <w:sz w:val="18"/>
          <w:szCs w:val="18"/>
          <w:shd w:val="clear" w:color="auto" w:fill="FFFFFF"/>
        </w:rPr>
        <w:t>Sinfonietta</w:t>
      </w:r>
      <w:proofErr w:type="spellEnd"/>
      <w:r w:rsidRPr="00A129B3">
        <w:rPr>
          <w:rFonts w:ascii="Tahoma" w:hAnsi="Tahoma" w:cs="Tahoma"/>
          <w:bCs/>
          <w:sz w:val="18"/>
          <w:szCs w:val="18"/>
          <w:shd w:val="clear" w:color="auto" w:fill="FFFFFF"/>
        </w:rPr>
        <w:t xml:space="preserve"> Rīga un diriģentu Normundu Šnē) un</w:t>
      </w:r>
      <w:r w:rsidRPr="00A129B3">
        <w:rPr>
          <w:rFonts w:ascii="Tahoma" w:hAnsi="Tahoma" w:cs="Tahoma"/>
          <w:b/>
          <w:sz w:val="18"/>
          <w:szCs w:val="18"/>
        </w:rPr>
        <w:t xml:space="preserve"> LSM balvas “Kilograms kultūras” balsojumam</w:t>
      </w:r>
      <w:r w:rsidRPr="00A129B3">
        <w:rPr>
          <w:rFonts w:ascii="Tahoma" w:hAnsi="Tahoma" w:cs="Tahoma"/>
          <w:bCs/>
          <w:sz w:val="18"/>
          <w:szCs w:val="18"/>
          <w:shd w:val="clear" w:color="auto" w:fill="FFFFFF"/>
        </w:rPr>
        <w:t xml:space="preserve"> (LNSO, Mālers un </w:t>
      </w:r>
      <w:proofErr w:type="spellStart"/>
      <w:r w:rsidRPr="00A129B3">
        <w:rPr>
          <w:rFonts w:ascii="Tahoma" w:hAnsi="Tahoma" w:cs="Tahoma"/>
          <w:bCs/>
          <w:sz w:val="18"/>
          <w:szCs w:val="18"/>
          <w:shd w:val="clear" w:color="auto" w:fill="FFFFFF"/>
        </w:rPr>
        <w:t>Sinaiskis</w:t>
      </w:r>
      <w:proofErr w:type="spellEnd"/>
      <w:r w:rsidRPr="00A129B3">
        <w:rPr>
          <w:rFonts w:ascii="Tahoma" w:hAnsi="Tahoma" w:cs="Tahoma"/>
          <w:bCs/>
          <w:sz w:val="18"/>
          <w:szCs w:val="18"/>
          <w:shd w:val="clear" w:color="auto" w:fill="FFFFFF"/>
        </w:rPr>
        <w:t xml:space="preserve">). </w:t>
      </w:r>
      <w:r w:rsidRPr="00A129B3">
        <w:rPr>
          <w:rFonts w:ascii="Tahoma" w:hAnsi="Tahoma" w:cs="Tahoma"/>
          <w:sz w:val="18"/>
          <w:szCs w:val="18"/>
          <w:shd w:val="clear" w:color="auto" w:fill="FEFBFB"/>
        </w:rPr>
        <w:t xml:space="preserve">2022.gada jūlijā Latgales vēstniecība GORS ieguvusi </w:t>
      </w:r>
      <w:r w:rsidRPr="00A129B3">
        <w:rPr>
          <w:rFonts w:ascii="Tahoma" w:hAnsi="Tahoma" w:cs="Tahoma"/>
          <w:b/>
          <w:bCs/>
          <w:sz w:val="18"/>
          <w:szCs w:val="18"/>
          <w:shd w:val="clear" w:color="auto" w:fill="FEFBFB"/>
        </w:rPr>
        <w:t>ģimenei draudzīgas darbavietas nomināciju</w:t>
      </w:r>
      <w:r w:rsidRPr="00A129B3">
        <w:rPr>
          <w:rFonts w:ascii="Tahoma" w:hAnsi="Tahoma" w:cs="Tahoma"/>
          <w:sz w:val="18"/>
          <w:szCs w:val="18"/>
          <w:shd w:val="clear" w:color="auto" w:fill="FEFBFB"/>
        </w:rPr>
        <w:t>, kļūstot ar Sabiedrības integrācijas fonda īstenotās valsts programmas </w:t>
      </w:r>
      <w:hyperlink r:id="rId6" w:tgtFrame="_blank" w:history="1">
        <w:r w:rsidRPr="00A129B3">
          <w:rPr>
            <w:rStyle w:val="Hyperlink"/>
            <w:rFonts w:ascii="Tahoma" w:hAnsi="Tahoma"/>
            <w:sz w:val="18"/>
            <w:szCs w:val="18"/>
            <w:shd w:val="clear" w:color="auto" w:fill="FEFBFB"/>
          </w:rPr>
          <w:t>“Ģimenei draudzīga darbavieta”</w:t>
        </w:r>
      </w:hyperlink>
      <w:r w:rsidRPr="00A129B3">
        <w:rPr>
          <w:rFonts w:ascii="Tahoma" w:hAnsi="Tahoma" w:cs="Tahoma"/>
          <w:sz w:val="18"/>
          <w:szCs w:val="18"/>
          <w:shd w:val="clear" w:color="auto" w:fill="FEFBFB"/>
        </w:rPr>
        <w:t> dalībnieci.</w:t>
      </w:r>
    </w:p>
    <w:p w14:paraId="591A1144"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bCs/>
          <w:sz w:val="18"/>
          <w:szCs w:val="18"/>
        </w:rPr>
        <w:t xml:space="preserve">2022.gadā koncertzālē notika Latvijas Radio kora albuma “Ivanovs. Vokalīzes” </w:t>
      </w:r>
      <w:r w:rsidRPr="00A129B3">
        <w:rPr>
          <w:rFonts w:ascii="Tahoma" w:hAnsi="Tahoma" w:cs="Tahoma"/>
          <w:b/>
          <w:sz w:val="18"/>
          <w:szCs w:val="18"/>
        </w:rPr>
        <w:t>ieraksts.</w:t>
      </w:r>
      <w:r w:rsidRPr="00A129B3">
        <w:rPr>
          <w:rFonts w:ascii="Tahoma" w:hAnsi="Tahoma" w:cs="Tahoma"/>
          <w:strike/>
          <w:sz w:val="18"/>
          <w:szCs w:val="18"/>
        </w:rPr>
        <w:br/>
      </w:r>
      <w:r w:rsidRPr="00A129B3">
        <w:rPr>
          <w:rFonts w:ascii="Tahoma" w:hAnsi="Tahoma" w:cs="Tahoma"/>
          <w:sz w:val="18"/>
          <w:szCs w:val="18"/>
        </w:rPr>
        <w:t>2022.gadā turpinājās</w:t>
      </w:r>
      <w:r w:rsidRPr="00A129B3">
        <w:rPr>
          <w:rFonts w:ascii="Tahoma" w:hAnsi="Tahoma" w:cs="Tahoma"/>
          <w:b/>
          <w:bCs/>
          <w:sz w:val="18"/>
          <w:szCs w:val="18"/>
        </w:rPr>
        <w:t xml:space="preserve"> sadarbība</w:t>
      </w:r>
      <w:r w:rsidRPr="00A129B3">
        <w:rPr>
          <w:rFonts w:ascii="Tahoma" w:hAnsi="Tahoma" w:cs="Tahoma"/>
          <w:sz w:val="18"/>
          <w:szCs w:val="18"/>
        </w:rPr>
        <w:t xml:space="preserve"> ar Latvijas profesionālajiem un nevalstiskajiem teātriem – Latvijas Nacionālo teātri, Dailes teātri, LNOB, Latvijas Leļļu teātri, </w:t>
      </w:r>
      <w:proofErr w:type="spellStart"/>
      <w:r w:rsidRPr="00A129B3">
        <w:rPr>
          <w:rFonts w:ascii="Tahoma" w:hAnsi="Tahoma" w:cs="Tahoma"/>
          <w:sz w:val="18"/>
          <w:szCs w:val="18"/>
        </w:rPr>
        <w:t>M.Čehova</w:t>
      </w:r>
      <w:proofErr w:type="spellEnd"/>
      <w:r w:rsidRPr="00A129B3">
        <w:rPr>
          <w:rFonts w:ascii="Tahoma" w:hAnsi="Tahoma" w:cs="Tahoma"/>
          <w:sz w:val="18"/>
          <w:szCs w:val="18"/>
        </w:rPr>
        <w:t xml:space="preserve"> Rīgas Krievu teātri, Valmieras Drāmas teātri, Liepājas teātri, apvienību </w:t>
      </w:r>
      <w:proofErr w:type="spellStart"/>
      <w:r w:rsidRPr="00A129B3">
        <w:rPr>
          <w:rFonts w:ascii="Tahoma" w:hAnsi="Tahoma" w:cs="Tahoma"/>
          <w:sz w:val="18"/>
          <w:szCs w:val="18"/>
        </w:rPr>
        <w:t>Kvadrifrons</w:t>
      </w:r>
      <w:proofErr w:type="spellEnd"/>
      <w:r w:rsidRPr="00A129B3">
        <w:rPr>
          <w:rFonts w:ascii="Tahoma" w:hAnsi="Tahoma" w:cs="Tahoma"/>
          <w:sz w:val="18"/>
          <w:szCs w:val="18"/>
        </w:rPr>
        <w:t xml:space="preserve">, turpinājās </w:t>
      </w:r>
      <w:r w:rsidRPr="00A129B3">
        <w:rPr>
          <w:rFonts w:ascii="Tahoma" w:hAnsi="Tahoma" w:cs="Tahoma"/>
          <w:bCs/>
          <w:sz w:val="18"/>
          <w:szCs w:val="18"/>
        </w:rPr>
        <w:t>sadarbība</w:t>
      </w:r>
      <w:r w:rsidRPr="00A129B3">
        <w:rPr>
          <w:rFonts w:ascii="Tahoma" w:hAnsi="Tahoma" w:cs="Tahoma"/>
          <w:sz w:val="18"/>
          <w:szCs w:val="18"/>
        </w:rPr>
        <w:t xml:space="preserve"> ar VSIA “Latvijas koncerti”,  </w:t>
      </w:r>
      <w:r w:rsidRPr="00A129B3">
        <w:rPr>
          <w:rFonts w:ascii="Tahoma" w:hAnsi="Tahoma" w:cs="Tahoma"/>
          <w:bCs/>
          <w:sz w:val="18"/>
          <w:szCs w:val="18"/>
        </w:rPr>
        <w:t>Ziemeļvalstu biroju Latvijā un Francijas Kultūras institūtu Latvijā</w:t>
      </w:r>
      <w:r w:rsidRPr="00A129B3">
        <w:rPr>
          <w:rFonts w:ascii="Tahoma" w:hAnsi="Tahoma" w:cs="Tahoma"/>
          <w:sz w:val="18"/>
          <w:szCs w:val="18"/>
        </w:rPr>
        <w:t xml:space="preserve"> kā arī dažādām privātajām producentu kompānijām. 2022.gadā GORS uzsāka sadarbību ar VSIA “Rīgas cirks”.</w:t>
      </w:r>
    </w:p>
    <w:p w14:paraId="58154255"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b/>
          <w:bCs/>
          <w:sz w:val="18"/>
          <w:szCs w:val="18"/>
        </w:rPr>
        <w:t>Uzņēmums atbilstoši piešķirtajai pašvaldības dotācijai</w:t>
      </w:r>
      <w:r w:rsidRPr="00A129B3">
        <w:rPr>
          <w:rFonts w:ascii="Tahoma" w:hAnsi="Tahoma" w:cs="Tahoma"/>
          <w:sz w:val="18"/>
          <w:szCs w:val="18"/>
        </w:rPr>
        <w:t xml:space="preserve"> organizēja Rēzeknes kamerorķestra un pūšamo instrumentu orķestra “Rēzekne” un Rēzeknes bigbenda koncertus, vasaras pasākumu ciklu “#</w:t>
      </w:r>
      <w:proofErr w:type="spellStart"/>
      <w:r w:rsidRPr="00A129B3">
        <w:rPr>
          <w:rFonts w:ascii="Tahoma" w:hAnsi="Tahoma" w:cs="Tahoma"/>
          <w:sz w:val="18"/>
          <w:szCs w:val="18"/>
        </w:rPr>
        <w:t>VasaliGORĀ</w:t>
      </w:r>
      <w:proofErr w:type="spellEnd"/>
      <w:r w:rsidRPr="00A129B3">
        <w:rPr>
          <w:rFonts w:ascii="Tahoma" w:hAnsi="Tahoma" w:cs="Tahoma"/>
          <w:sz w:val="18"/>
          <w:szCs w:val="18"/>
        </w:rPr>
        <w:t xml:space="preserve">”, rīkoja Latvijas valsts 104. dzimšanas dienas Svētku koncertu, kurā tika godināti Rēzeknes Goda pilsoņi. </w:t>
      </w:r>
    </w:p>
    <w:p w14:paraId="429E8E8C"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sz w:val="18"/>
          <w:szCs w:val="18"/>
        </w:rPr>
        <w:lastRenderedPageBreak/>
        <w:t xml:space="preserve">2022.gadā notika </w:t>
      </w:r>
      <w:r w:rsidRPr="00A129B3">
        <w:rPr>
          <w:rFonts w:ascii="Tahoma" w:hAnsi="Tahoma" w:cs="Tahoma"/>
          <w:b/>
          <w:sz w:val="18"/>
          <w:szCs w:val="18"/>
        </w:rPr>
        <w:t xml:space="preserve">PO “Rēzekne” un Rēzeknes  bigbenda </w:t>
      </w:r>
      <w:r w:rsidRPr="00A129B3">
        <w:rPr>
          <w:rFonts w:ascii="Tahoma" w:hAnsi="Tahoma" w:cs="Tahoma"/>
          <w:bCs/>
          <w:sz w:val="18"/>
          <w:szCs w:val="18"/>
        </w:rPr>
        <w:t>koncerti un uzstāšanās dažādos pasākumos</w:t>
      </w:r>
      <w:r w:rsidRPr="00A129B3">
        <w:rPr>
          <w:rFonts w:ascii="Tahoma" w:hAnsi="Tahoma" w:cs="Tahoma"/>
          <w:sz w:val="18"/>
          <w:szCs w:val="18"/>
        </w:rPr>
        <w:t xml:space="preserve"> - </w:t>
      </w:r>
      <w:r w:rsidRPr="00A129B3">
        <w:rPr>
          <w:rFonts w:ascii="Tahoma" w:hAnsi="Tahoma" w:cs="Tahoma"/>
          <w:bCs/>
          <w:sz w:val="18"/>
          <w:szCs w:val="18"/>
        </w:rPr>
        <w:t xml:space="preserve">koncerts Ukrainas atbalstam Festivāla parkā, mūziķa Ralfa </w:t>
      </w:r>
      <w:proofErr w:type="spellStart"/>
      <w:r w:rsidRPr="00A129B3">
        <w:rPr>
          <w:rFonts w:ascii="Tahoma" w:hAnsi="Tahoma" w:cs="Tahoma"/>
          <w:bCs/>
          <w:sz w:val="18"/>
          <w:szCs w:val="18"/>
        </w:rPr>
        <w:t>Eilanda</w:t>
      </w:r>
      <w:proofErr w:type="spellEnd"/>
      <w:r w:rsidRPr="00A129B3">
        <w:rPr>
          <w:rFonts w:ascii="Tahoma" w:hAnsi="Tahoma" w:cs="Tahoma"/>
          <w:bCs/>
          <w:sz w:val="18"/>
          <w:szCs w:val="18"/>
        </w:rPr>
        <w:t xml:space="preserve"> organizētais koncerts Ukrainas atbalstam pie Latgales vēstniecības GORS, bigbenda koncerts “Vasaras kokteilis” GORS pagalmā, Rēzeknes bigbenda un solistu Normunda Rutuļa, Andra Ērgļa, Dionas Liepiņas koncerts Rēzeknes Festivāla parkā</w:t>
      </w:r>
      <w:r w:rsidRPr="00A129B3">
        <w:rPr>
          <w:rFonts w:ascii="Arial Narrow" w:hAnsi="Arial Narrow"/>
          <w:bCs/>
        </w:rPr>
        <w:t xml:space="preserve">, </w:t>
      </w:r>
      <w:r w:rsidRPr="00A129B3">
        <w:rPr>
          <w:rFonts w:ascii="Tahoma" w:hAnsi="Tahoma" w:cs="Tahoma"/>
          <w:bCs/>
          <w:sz w:val="18"/>
          <w:szCs w:val="18"/>
        </w:rPr>
        <w:t xml:space="preserve">PO Rēzekne koncerti Rēzeknes pagalmos un citi. </w:t>
      </w:r>
      <w:r w:rsidRPr="00A129B3">
        <w:rPr>
          <w:rFonts w:ascii="Tahoma" w:hAnsi="Tahoma" w:cs="Tahoma"/>
          <w:sz w:val="18"/>
          <w:szCs w:val="18"/>
        </w:rPr>
        <w:t>Vasarā bigbends uzstājās festivālā “</w:t>
      </w:r>
      <w:proofErr w:type="spellStart"/>
      <w:r w:rsidRPr="00A129B3">
        <w:rPr>
          <w:rFonts w:ascii="Tahoma" w:hAnsi="Tahoma" w:cs="Tahoma"/>
          <w:sz w:val="18"/>
          <w:szCs w:val="18"/>
        </w:rPr>
        <w:t>Šķiuņa</w:t>
      </w:r>
      <w:proofErr w:type="spellEnd"/>
      <w:r w:rsidRPr="00A129B3">
        <w:rPr>
          <w:rFonts w:ascii="Tahoma" w:hAnsi="Tahoma" w:cs="Tahoma"/>
          <w:sz w:val="18"/>
          <w:szCs w:val="18"/>
        </w:rPr>
        <w:t xml:space="preserve"> džezs”, orķestra mūziķi </w:t>
      </w:r>
      <w:bookmarkStart w:id="0" w:name="_Hlk96680809"/>
      <w:r w:rsidRPr="00A129B3">
        <w:rPr>
          <w:rFonts w:ascii="Tahoma" w:hAnsi="Tahoma" w:cs="Tahoma"/>
          <w:bCs/>
          <w:sz w:val="18"/>
          <w:szCs w:val="18"/>
        </w:rPr>
        <w:t>piedalījās Rēzeknes teātra “</w:t>
      </w:r>
      <w:proofErr w:type="spellStart"/>
      <w:r w:rsidRPr="00A129B3">
        <w:rPr>
          <w:rFonts w:ascii="Tahoma" w:hAnsi="Tahoma" w:cs="Tahoma"/>
          <w:bCs/>
          <w:sz w:val="18"/>
          <w:szCs w:val="18"/>
        </w:rPr>
        <w:t>Joriks</w:t>
      </w:r>
      <w:proofErr w:type="spellEnd"/>
      <w:r w:rsidRPr="00A129B3">
        <w:rPr>
          <w:rFonts w:ascii="Tahoma" w:hAnsi="Tahoma" w:cs="Tahoma"/>
          <w:bCs/>
          <w:sz w:val="18"/>
          <w:szCs w:val="18"/>
        </w:rPr>
        <w:t xml:space="preserve">” izrādēs “Mans draugs – ebrejs” </w:t>
      </w:r>
      <w:bookmarkStart w:id="1" w:name="_Hlk96680383"/>
      <w:bookmarkEnd w:id="0"/>
      <w:r w:rsidRPr="00A129B3">
        <w:rPr>
          <w:rFonts w:ascii="Tahoma" w:hAnsi="Tahoma" w:cs="Tahoma"/>
          <w:bCs/>
          <w:sz w:val="18"/>
          <w:szCs w:val="18"/>
        </w:rPr>
        <w:t xml:space="preserve"> Preiļos un Rīgā</w:t>
      </w:r>
      <w:r w:rsidRPr="00A129B3">
        <w:rPr>
          <w:rFonts w:ascii="Arial Narrow" w:hAnsi="Arial Narrow"/>
          <w:bCs/>
          <w:i/>
          <w:iCs/>
        </w:rPr>
        <w:t xml:space="preserve">, </w:t>
      </w:r>
      <w:r w:rsidRPr="00A129B3">
        <w:rPr>
          <w:rFonts w:ascii="Tahoma" w:hAnsi="Tahoma" w:cs="Tahoma"/>
          <w:bCs/>
          <w:sz w:val="18"/>
          <w:szCs w:val="18"/>
        </w:rPr>
        <w:t>kā arī Rēzeknes Tautas teātra izrādē  “</w:t>
      </w:r>
      <w:proofErr w:type="spellStart"/>
      <w:r w:rsidRPr="00A129B3">
        <w:rPr>
          <w:rFonts w:ascii="Tahoma" w:hAnsi="Tahoma" w:cs="Tahoma"/>
          <w:bCs/>
          <w:sz w:val="18"/>
          <w:szCs w:val="18"/>
        </w:rPr>
        <w:t>Dzeivis</w:t>
      </w:r>
      <w:proofErr w:type="spellEnd"/>
      <w:r w:rsidRPr="00A129B3">
        <w:rPr>
          <w:rFonts w:ascii="Tahoma" w:hAnsi="Tahoma" w:cs="Tahoma"/>
          <w:bCs/>
          <w:sz w:val="18"/>
          <w:szCs w:val="18"/>
        </w:rPr>
        <w:t xml:space="preserve"> </w:t>
      </w:r>
      <w:proofErr w:type="spellStart"/>
      <w:r w:rsidRPr="00A129B3">
        <w:rPr>
          <w:rFonts w:ascii="Tahoma" w:hAnsi="Tahoma" w:cs="Tahoma"/>
          <w:bCs/>
          <w:sz w:val="18"/>
          <w:szCs w:val="18"/>
        </w:rPr>
        <w:t>graidi</w:t>
      </w:r>
      <w:proofErr w:type="spellEnd"/>
      <w:r w:rsidRPr="00A129B3">
        <w:rPr>
          <w:rFonts w:ascii="Tahoma" w:hAnsi="Tahoma" w:cs="Tahoma"/>
          <w:bCs/>
          <w:sz w:val="18"/>
          <w:szCs w:val="18"/>
        </w:rPr>
        <w:t>”.</w:t>
      </w:r>
      <w:r w:rsidRPr="00A129B3">
        <w:rPr>
          <w:rFonts w:ascii="Arial Narrow" w:hAnsi="Arial Narrow"/>
          <w:bCs/>
          <w:i/>
          <w:iCs/>
        </w:rPr>
        <w:t xml:space="preserve"> </w:t>
      </w:r>
      <w:r w:rsidRPr="00A129B3">
        <w:rPr>
          <w:rFonts w:ascii="Tahoma" w:hAnsi="Tahoma" w:cs="Tahoma"/>
          <w:sz w:val="18"/>
          <w:szCs w:val="18"/>
        </w:rPr>
        <w:t>Pavisam 2022. gada laikā orķestris un tā mūziķi piedalījās 23 dažādos koncertos un sarīkojumos Rēzeknē un citur Latvijā.</w:t>
      </w:r>
    </w:p>
    <w:p w14:paraId="57CF5844"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bCs/>
          <w:sz w:val="18"/>
          <w:szCs w:val="18"/>
        </w:rPr>
        <w:t xml:space="preserve">2022.gadā tika atskaņotas divas koncertprogrammas ar </w:t>
      </w:r>
      <w:r w:rsidRPr="00A129B3">
        <w:rPr>
          <w:rFonts w:ascii="Tahoma" w:hAnsi="Tahoma" w:cs="Tahoma"/>
          <w:b/>
          <w:sz w:val="18"/>
          <w:szCs w:val="18"/>
        </w:rPr>
        <w:t>Rēzeknes kamerorķestra</w:t>
      </w:r>
      <w:r w:rsidRPr="00A129B3">
        <w:rPr>
          <w:rFonts w:ascii="Tahoma" w:hAnsi="Tahoma" w:cs="Tahoma"/>
          <w:bCs/>
          <w:sz w:val="18"/>
          <w:szCs w:val="18"/>
        </w:rPr>
        <w:t xml:space="preserve"> piedalīšanos -  festivāla “</w:t>
      </w:r>
      <w:proofErr w:type="spellStart"/>
      <w:r w:rsidRPr="00A129B3">
        <w:rPr>
          <w:rFonts w:ascii="Tahoma" w:hAnsi="Tahoma" w:cs="Tahoma"/>
          <w:bCs/>
          <w:sz w:val="18"/>
          <w:szCs w:val="18"/>
        </w:rPr>
        <w:t>ORGANismi</w:t>
      </w:r>
      <w:proofErr w:type="spellEnd"/>
      <w:r w:rsidRPr="00A129B3">
        <w:rPr>
          <w:rFonts w:ascii="Tahoma" w:hAnsi="Tahoma" w:cs="Tahoma"/>
          <w:bCs/>
          <w:sz w:val="18"/>
          <w:szCs w:val="18"/>
        </w:rPr>
        <w:t xml:space="preserve">” sadarbības projekts ar </w:t>
      </w:r>
      <w:proofErr w:type="spellStart"/>
      <w:r w:rsidRPr="00A129B3">
        <w:rPr>
          <w:rFonts w:ascii="Tahoma" w:hAnsi="Tahoma" w:cs="Tahoma"/>
          <w:b/>
          <w:sz w:val="18"/>
          <w:szCs w:val="18"/>
        </w:rPr>
        <w:t>J.Ivanova</w:t>
      </w:r>
      <w:proofErr w:type="spellEnd"/>
      <w:r w:rsidRPr="00A129B3">
        <w:rPr>
          <w:rFonts w:ascii="Tahoma" w:hAnsi="Tahoma" w:cs="Tahoma"/>
          <w:b/>
          <w:sz w:val="18"/>
          <w:szCs w:val="18"/>
        </w:rPr>
        <w:t xml:space="preserve"> Rēzeknes mūzikas vidusskolu</w:t>
      </w:r>
      <w:r w:rsidRPr="00A129B3">
        <w:rPr>
          <w:rFonts w:ascii="Tahoma" w:hAnsi="Tahoma" w:cs="Tahoma"/>
          <w:bCs/>
          <w:sz w:val="18"/>
          <w:szCs w:val="18"/>
        </w:rPr>
        <w:t xml:space="preserve"> – </w:t>
      </w:r>
      <w:proofErr w:type="spellStart"/>
      <w:r w:rsidRPr="00A129B3">
        <w:rPr>
          <w:rFonts w:ascii="Tahoma" w:hAnsi="Tahoma" w:cs="Tahoma"/>
          <w:bCs/>
          <w:sz w:val="18"/>
          <w:szCs w:val="18"/>
        </w:rPr>
        <w:t>koncertizrāde</w:t>
      </w:r>
      <w:proofErr w:type="spellEnd"/>
      <w:r w:rsidRPr="00A129B3">
        <w:rPr>
          <w:rFonts w:ascii="Tahoma" w:hAnsi="Tahoma" w:cs="Tahoma"/>
          <w:bCs/>
          <w:sz w:val="18"/>
          <w:szCs w:val="18"/>
        </w:rPr>
        <w:t xml:space="preserve"> “Ķepas, ūsas un </w:t>
      </w:r>
      <w:proofErr w:type="spellStart"/>
      <w:r w:rsidRPr="00A129B3">
        <w:rPr>
          <w:rFonts w:ascii="Tahoma" w:hAnsi="Tahoma" w:cs="Tahoma"/>
          <w:bCs/>
          <w:sz w:val="18"/>
          <w:szCs w:val="18"/>
        </w:rPr>
        <w:t>Minkāns</w:t>
      </w:r>
      <w:proofErr w:type="spellEnd"/>
      <w:r w:rsidRPr="00A129B3">
        <w:rPr>
          <w:rFonts w:ascii="Tahoma" w:hAnsi="Tahoma" w:cs="Tahoma"/>
          <w:bCs/>
          <w:sz w:val="18"/>
          <w:szCs w:val="18"/>
        </w:rPr>
        <w:t xml:space="preserve">” un uzstāšanās </w:t>
      </w:r>
      <w:proofErr w:type="spellStart"/>
      <w:r w:rsidRPr="00A129B3">
        <w:rPr>
          <w:rFonts w:ascii="Tahoma" w:hAnsi="Tahoma" w:cs="Tahoma"/>
          <w:bCs/>
          <w:sz w:val="18"/>
          <w:szCs w:val="18"/>
        </w:rPr>
        <w:t>J.Ivanova</w:t>
      </w:r>
      <w:proofErr w:type="spellEnd"/>
      <w:r w:rsidRPr="00A129B3">
        <w:rPr>
          <w:rFonts w:ascii="Tahoma" w:hAnsi="Tahoma" w:cs="Tahoma"/>
          <w:bCs/>
          <w:sz w:val="18"/>
          <w:szCs w:val="18"/>
        </w:rPr>
        <w:t xml:space="preserve"> Rēzeknes mūzikas vidusskolas 90 gadu Noslēguma koncertā Latgales vēstniecībā GORS.  Sadarbībā ar </w:t>
      </w:r>
      <w:proofErr w:type="spellStart"/>
      <w:r w:rsidRPr="00A129B3">
        <w:rPr>
          <w:rFonts w:ascii="Tahoma" w:hAnsi="Tahoma" w:cs="Tahoma"/>
          <w:bCs/>
          <w:sz w:val="18"/>
          <w:szCs w:val="18"/>
        </w:rPr>
        <w:t>J.Ivanova</w:t>
      </w:r>
      <w:proofErr w:type="spellEnd"/>
      <w:r w:rsidRPr="00A129B3">
        <w:rPr>
          <w:rFonts w:ascii="Tahoma" w:hAnsi="Tahoma" w:cs="Tahoma"/>
          <w:bCs/>
          <w:sz w:val="18"/>
          <w:szCs w:val="18"/>
        </w:rPr>
        <w:t xml:space="preserve"> Rēzeknes mūzikas vidusskolu notika arī koncerts “Skatuve jaunajiem”, kurā uzstājās IP “Džeza un mūsdienu ritma mūzika” pirmie absolventi un skolotāji, muzikāls uzvedums “Ķiršu koks” ar mūzikas skolas bērnu kora, Ivetas Apkalnas un Gundara Āboliņa piedalīšanos. </w:t>
      </w:r>
    </w:p>
    <w:bookmarkEnd w:id="1"/>
    <w:p w14:paraId="487A0683"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b/>
          <w:sz w:val="18"/>
          <w:szCs w:val="18"/>
        </w:rPr>
        <w:t xml:space="preserve">2022. gadā GORS Mākslas galerijā notika 7 izstādes - </w:t>
      </w:r>
      <w:r w:rsidRPr="00A129B3">
        <w:rPr>
          <w:rStyle w:val="Strong"/>
          <w:rFonts w:ascii="Tahoma" w:hAnsi="Tahoma" w:cs="Tahoma"/>
          <w:sz w:val="18"/>
          <w:szCs w:val="18"/>
          <w:shd w:val="clear" w:color="auto" w:fill="FFFFFF"/>
        </w:rPr>
        <w:t xml:space="preserve">mākslinieces Alekseja Naumova, Kristīnes </w:t>
      </w:r>
      <w:proofErr w:type="spellStart"/>
      <w:r w:rsidRPr="00A129B3">
        <w:rPr>
          <w:rStyle w:val="Strong"/>
          <w:rFonts w:ascii="Tahoma" w:hAnsi="Tahoma" w:cs="Tahoma"/>
          <w:sz w:val="18"/>
          <w:szCs w:val="18"/>
          <w:shd w:val="clear" w:color="auto" w:fill="FFFFFF"/>
        </w:rPr>
        <w:t>Kutepovas</w:t>
      </w:r>
      <w:proofErr w:type="spellEnd"/>
      <w:r w:rsidRPr="00A129B3">
        <w:rPr>
          <w:rStyle w:val="Strong"/>
          <w:rFonts w:ascii="Tahoma" w:hAnsi="Tahoma" w:cs="Tahoma"/>
          <w:sz w:val="18"/>
          <w:szCs w:val="18"/>
          <w:shd w:val="clear" w:color="auto" w:fill="FFFFFF"/>
        </w:rPr>
        <w:t xml:space="preserve">, Signes Vanadziņas, Arta Butes, </w:t>
      </w:r>
      <w:proofErr w:type="spellStart"/>
      <w:r w:rsidRPr="00A129B3">
        <w:rPr>
          <w:rStyle w:val="Strong"/>
          <w:rFonts w:ascii="Tahoma" w:hAnsi="Tahoma" w:cs="Tahoma"/>
          <w:sz w:val="18"/>
          <w:szCs w:val="18"/>
          <w:shd w:val="clear" w:color="auto" w:fill="FFFFFF"/>
        </w:rPr>
        <w:t>Karine</w:t>
      </w:r>
      <w:proofErr w:type="spellEnd"/>
      <w:r w:rsidRPr="00A129B3">
        <w:rPr>
          <w:rStyle w:val="Strong"/>
          <w:rFonts w:ascii="Tahoma" w:hAnsi="Tahoma" w:cs="Tahoma"/>
          <w:sz w:val="18"/>
          <w:szCs w:val="18"/>
          <w:shd w:val="clear" w:color="auto" w:fill="FFFFFF"/>
        </w:rPr>
        <w:t xml:space="preserve"> </w:t>
      </w:r>
      <w:proofErr w:type="spellStart"/>
      <w:r w:rsidRPr="00A129B3">
        <w:rPr>
          <w:rStyle w:val="Strong"/>
          <w:rFonts w:ascii="Tahoma" w:hAnsi="Tahoma" w:cs="Tahoma"/>
          <w:sz w:val="18"/>
          <w:szCs w:val="18"/>
          <w:shd w:val="clear" w:color="auto" w:fill="FFFFFF"/>
        </w:rPr>
        <w:t>Paranjanc</w:t>
      </w:r>
      <w:proofErr w:type="spellEnd"/>
      <w:r w:rsidRPr="00A129B3">
        <w:rPr>
          <w:rStyle w:val="Strong"/>
          <w:rFonts w:ascii="Tahoma" w:hAnsi="Tahoma" w:cs="Tahoma"/>
          <w:sz w:val="18"/>
          <w:szCs w:val="18"/>
          <w:shd w:val="clear" w:color="auto" w:fill="FFFFFF"/>
        </w:rPr>
        <w:t xml:space="preserve">  gleznu izstādes, Anatolija </w:t>
      </w:r>
      <w:proofErr w:type="spellStart"/>
      <w:r w:rsidRPr="00A129B3">
        <w:rPr>
          <w:rStyle w:val="Strong"/>
          <w:rFonts w:ascii="Tahoma" w:hAnsi="Tahoma" w:cs="Tahoma"/>
          <w:sz w:val="18"/>
          <w:szCs w:val="18"/>
          <w:shd w:val="clear" w:color="auto" w:fill="FFFFFF"/>
        </w:rPr>
        <w:t>Šandurova</w:t>
      </w:r>
      <w:proofErr w:type="spellEnd"/>
      <w:r w:rsidRPr="00A129B3">
        <w:rPr>
          <w:rStyle w:val="Strong"/>
          <w:rFonts w:ascii="Tahoma" w:hAnsi="Tahoma" w:cs="Tahoma"/>
          <w:sz w:val="18"/>
          <w:szCs w:val="18"/>
          <w:shd w:val="clear" w:color="auto" w:fill="FFFFFF"/>
        </w:rPr>
        <w:t xml:space="preserve"> grafikas un gleznu izstāde un arī tērpu mākslinieces Evijas Dāboliņas izstāde-meistarklase. I</w:t>
      </w:r>
      <w:r w:rsidRPr="00A129B3">
        <w:rPr>
          <w:rFonts w:ascii="Tahoma" w:hAnsi="Tahoma" w:cs="Tahoma"/>
          <w:sz w:val="18"/>
          <w:szCs w:val="18"/>
        </w:rPr>
        <w:t xml:space="preserve">zstādes un sarunas ar māksliniekiem tika filmētas, video stāstus ievietojot GORS mājaslapā un sociālajā tīklā </w:t>
      </w:r>
      <w:proofErr w:type="spellStart"/>
      <w:r w:rsidRPr="00A129B3">
        <w:rPr>
          <w:rFonts w:ascii="Tahoma" w:hAnsi="Tahoma" w:cs="Tahoma"/>
          <w:sz w:val="18"/>
          <w:szCs w:val="18"/>
        </w:rPr>
        <w:t>facebook</w:t>
      </w:r>
      <w:proofErr w:type="spellEnd"/>
      <w:r w:rsidRPr="00A129B3">
        <w:rPr>
          <w:rFonts w:ascii="Tahoma" w:hAnsi="Tahoma" w:cs="Tahoma"/>
          <w:sz w:val="18"/>
          <w:szCs w:val="18"/>
        </w:rPr>
        <w:t xml:space="preserve">. </w:t>
      </w:r>
    </w:p>
    <w:p w14:paraId="0C58B951" w14:textId="77777777" w:rsidR="007133E8" w:rsidRPr="00A129B3" w:rsidRDefault="007133E8" w:rsidP="007133E8">
      <w:pPr>
        <w:pStyle w:val="Parasts1"/>
        <w:spacing w:line="276" w:lineRule="auto"/>
        <w:ind w:firstLine="720"/>
        <w:jc w:val="both"/>
        <w:outlineLvl w:val="0"/>
        <w:rPr>
          <w:rFonts w:ascii="Tahoma" w:hAnsi="Tahoma" w:cs="Tahoma"/>
          <w:b/>
          <w:sz w:val="18"/>
          <w:szCs w:val="18"/>
        </w:rPr>
      </w:pPr>
      <w:r w:rsidRPr="00A129B3">
        <w:rPr>
          <w:rFonts w:ascii="Tahoma" w:hAnsi="Tahoma" w:cs="Tahoma"/>
          <w:sz w:val="18"/>
          <w:szCs w:val="18"/>
        </w:rPr>
        <w:t xml:space="preserve">2022.gadā turpinājās sadarbība ar projektu </w:t>
      </w:r>
      <w:r w:rsidRPr="00A129B3">
        <w:rPr>
          <w:rFonts w:ascii="Tahoma" w:hAnsi="Tahoma" w:cs="Tahoma"/>
          <w:b/>
          <w:sz w:val="18"/>
          <w:szCs w:val="18"/>
        </w:rPr>
        <w:t>“Latvijas Skolas soma</w:t>
      </w:r>
      <w:r w:rsidRPr="00A129B3">
        <w:rPr>
          <w:rFonts w:ascii="Tahoma" w:hAnsi="Tahoma" w:cs="Tahoma"/>
          <w:sz w:val="18"/>
          <w:szCs w:val="18"/>
        </w:rPr>
        <w:t xml:space="preserve">”. </w:t>
      </w:r>
      <w:r w:rsidRPr="00A129B3">
        <w:rPr>
          <w:rFonts w:ascii="Tahoma" w:hAnsi="Tahoma" w:cs="Tahoma"/>
          <w:b/>
          <w:sz w:val="18"/>
          <w:szCs w:val="18"/>
        </w:rPr>
        <w:t xml:space="preserve">4 </w:t>
      </w:r>
      <w:r w:rsidRPr="00A129B3">
        <w:rPr>
          <w:rFonts w:ascii="Tahoma" w:hAnsi="Tahoma" w:cs="Tahoma"/>
          <w:b/>
          <w:bCs/>
          <w:sz w:val="18"/>
          <w:szCs w:val="18"/>
        </w:rPr>
        <w:t>pasākumus un 98 kino seansus, kurus apmeklēja 3491 skolēns, tika novadītas 29 ekskursijas, kuras apmeklēja 728 skolēni.</w:t>
      </w:r>
      <w:r w:rsidRPr="00A129B3">
        <w:rPr>
          <w:rFonts w:ascii="Tahoma" w:hAnsi="Tahoma" w:cs="Tahoma"/>
          <w:sz w:val="18"/>
          <w:szCs w:val="18"/>
        </w:rPr>
        <w:t xml:space="preserve"> Latgales vēstniecībā GORS</w:t>
      </w:r>
      <w:r w:rsidRPr="00A129B3">
        <w:rPr>
          <w:rFonts w:ascii="Tahoma" w:hAnsi="Tahoma" w:cs="Tahoma"/>
          <w:b/>
          <w:sz w:val="18"/>
          <w:szCs w:val="18"/>
        </w:rPr>
        <w:t xml:space="preserve">  apmeklēja 4219 skolēni.</w:t>
      </w:r>
    </w:p>
    <w:p w14:paraId="42CA1737" w14:textId="77777777" w:rsidR="007133E8" w:rsidRPr="00A129B3" w:rsidRDefault="007133E8" w:rsidP="007133E8">
      <w:pPr>
        <w:pStyle w:val="Parasts1"/>
        <w:spacing w:line="276" w:lineRule="auto"/>
        <w:ind w:firstLine="720"/>
        <w:jc w:val="both"/>
        <w:outlineLvl w:val="0"/>
        <w:rPr>
          <w:rFonts w:ascii="Tahoma" w:hAnsi="Tahoma" w:cs="Tahoma"/>
          <w:bCs/>
          <w:sz w:val="18"/>
          <w:szCs w:val="18"/>
        </w:rPr>
      </w:pPr>
      <w:r w:rsidRPr="00A129B3">
        <w:rPr>
          <w:rFonts w:ascii="Tahoma" w:hAnsi="Tahoma" w:cs="Tahoma"/>
          <w:sz w:val="18"/>
          <w:szCs w:val="18"/>
        </w:rPr>
        <w:t>2022.gadā GORS veica arī</w:t>
      </w:r>
      <w:r w:rsidRPr="00A129B3">
        <w:rPr>
          <w:rFonts w:ascii="Tahoma" w:hAnsi="Tahoma" w:cs="Tahoma"/>
          <w:b/>
          <w:bCs/>
          <w:sz w:val="18"/>
          <w:szCs w:val="18"/>
        </w:rPr>
        <w:t xml:space="preserve"> k</w:t>
      </w:r>
      <w:r w:rsidRPr="00A129B3">
        <w:rPr>
          <w:rFonts w:ascii="Tahoma" w:hAnsi="Tahoma" w:cs="Tahoma"/>
          <w:b/>
          <w:sz w:val="18"/>
          <w:szCs w:val="18"/>
        </w:rPr>
        <w:t>ino</w:t>
      </w:r>
      <w:r w:rsidRPr="00A129B3">
        <w:rPr>
          <w:rFonts w:ascii="Tahoma" w:hAnsi="Tahoma" w:cs="Tahoma"/>
          <w:sz w:val="18"/>
          <w:szCs w:val="18"/>
        </w:rPr>
        <w:t xml:space="preserve"> demonstrēšanas funkciju, izrādot</w:t>
      </w:r>
      <w:r w:rsidRPr="00A129B3">
        <w:rPr>
          <w:rFonts w:ascii="Tahoma" w:hAnsi="Tahoma" w:cs="Tahoma"/>
          <w:b/>
          <w:sz w:val="18"/>
          <w:szCs w:val="18"/>
        </w:rPr>
        <w:t xml:space="preserve"> </w:t>
      </w:r>
      <w:r w:rsidRPr="00A129B3">
        <w:rPr>
          <w:rFonts w:ascii="Tahoma" w:hAnsi="Tahoma" w:cs="Tahoma"/>
          <w:b/>
          <w:bCs/>
          <w:sz w:val="18"/>
          <w:szCs w:val="18"/>
        </w:rPr>
        <w:t>627 filmas</w:t>
      </w:r>
      <w:r w:rsidRPr="00A129B3">
        <w:rPr>
          <w:rFonts w:ascii="Tahoma" w:hAnsi="Tahoma" w:cs="Tahoma"/>
          <w:sz w:val="18"/>
          <w:szCs w:val="18"/>
        </w:rPr>
        <w:t xml:space="preserve">, kuras noskatījās </w:t>
      </w:r>
      <w:r w:rsidRPr="00A129B3">
        <w:rPr>
          <w:rFonts w:ascii="Tahoma" w:hAnsi="Tahoma" w:cs="Tahoma"/>
          <w:b/>
          <w:bCs/>
          <w:sz w:val="18"/>
          <w:szCs w:val="18"/>
        </w:rPr>
        <w:t>24 325</w:t>
      </w:r>
      <w:r w:rsidRPr="00A129B3">
        <w:rPr>
          <w:rFonts w:ascii="Tahoma" w:hAnsi="Tahoma" w:cs="Tahoma"/>
          <w:sz w:val="18"/>
          <w:szCs w:val="18"/>
        </w:rPr>
        <w:t xml:space="preserve"> apmeklētāji</w:t>
      </w:r>
      <w:r w:rsidRPr="00A129B3">
        <w:rPr>
          <w:rFonts w:ascii="Tahoma" w:hAnsi="Tahoma" w:cs="Tahoma"/>
          <w:bCs/>
          <w:sz w:val="18"/>
          <w:szCs w:val="18"/>
        </w:rPr>
        <w:t>.</w:t>
      </w:r>
      <w:r w:rsidRPr="00A129B3">
        <w:rPr>
          <w:rFonts w:ascii="Tahoma" w:hAnsi="Tahoma" w:cs="Tahoma"/>
          <w:b/>
          <w:sz w:val="18"/>
          <w:szCs w:val="18"/>
        </w:rPr>
        <w:t xml:space="preserve"> </w:t>
      </w:r>
      <w:r w:rsidRPr="00A129B3">
        <w:rPr>
          <w:rFonts w:ascii="Tahoma" w:hAnsi="Tahoma" w:cs="Tahoma"/>
          <w:bCs/>
          <w:sz w:val="18"/>
          <w:szCs w:val="18"/>
        </w:rPr>
        <w:t xml:space="preserve">Arī </w:t>
      </w:r>
      <w:r w:rsidRPr="00A129B3">
        <w:rPr>
          <w:rFonts w:ascii="Tahoma" w:hAnsi="Tahoma" w:cs="Tahoma"/>
          <w:b/>
          <w:sz w:val="18"/>
          <w:szCs w:val="18"/>
        </w:rPr>
        <w:t xml:space="preserve">kafejnīca “Zīds” </w:t>
      </w:r>
      <w:r w:rsidRPr="00A129B3">
        <w:rPr>
          <w:rFonts w:ascii="Tahoma" w:hAnsi="Tahoma" w:cs="Tahoma"/>
          <w:bCs/>
          <w:sz w:val="18"/>
          <w:szCs w:val="18"/>
        </w:rPr>
        <w:t xml:space="preserve">rosināja interesi par koncertzālē notiekošajiem pasākumiem, 2022.gadā to apmeklēja </w:t>
      </w:r>
      <w:r w:rsidRPr="00A129B3">
        <w:rPr>
          <w:rFonts w:ascii="Tahoma" w:hAnsi="Tahoma" w:cs="Tahoma"/>
          <w:b/>
          <w:sz w:val="18"/>
          <w:szCs w:val="18"/>
        </w:rPr>
        <w:t>13784</w:t>
      </w:r>
      <w:r w:rsidRPr="00A129B3">
        <w:rPr>
          <w:rFonts w:ascii="Tahoma" w:hAnsi="Tahoma" w:cs="Tahoma"/>
          <w:bCs/>
          <w:sz w:val="18"/>
          <w:szCs w:val="18"/>
        </w:rPr>
        <w:t xml:space="preserve"> koncertu, izrāžu, semināru, konferenču, korporatīvo pasākumu apmeklētāji, rēzeknieši un pilsētas viesi. Kafejnīcas “Zīds” rosināti tika rīkoti arī vairāki tematiski muzikālie vakari, </w:t>
      </w:r>
      <w:proofErr w:type="spellStart"/>
      <w:r w:rsidRPr="00A129B3">
        <w:rPr>
          <w:rFonts w:ascii="Tahoma" w:hAnsi="Tahoma" w:cs="Tahoma"/>
          <w:bCs/>
          <w:sz w:val="18"/>
          <w:szCs w:val="18"/>
        </w:rPr>
        <w:t>vēlbrokastis</w:t>
      </w:r>
      <w:proofErr w:type="spellEnd"/>
      <w:r w:rsidRPr="00A129B3">
        <w:rPr>
          <w:rFonts w:ascii="Tahoma" w:hAnsi="Tahoma" w:cs="Tahoma"/>
          <w:bCs/>
          <w:sz w:val="18"/>
          <w:szCs w:val="18"/>
        </w:rPr>
        <w:t xml:space="preserve"> u.c.</w:t>
      </w:r>
    </w:p>
    <w:p w14:paraId="5DE97B0F" w14:textId="77777777" w:rsidR="007133E8" w:rsidRPr="00A129B3" w:rsidRDefault="007133E8" w:rsidP="007133E8">
      <w:pPr>
        <w:pStyle w:val="Parasts1"/>
        <w:spacing w:line="276" w:lineRule="auto"/>
        <w:ind w:firstLine="720"/>
        <w:jc w:val="both"/>
        <w:outlineLvl w:val="0"/>
        <w:rPr>
          <w:rFonts w:ascii="Tahoma" w:hAnsi="Tahoma" w:cs="Tahoma"/>
          <w:b/>
          <w:sz w:val="18"/>
          <w:szCs w:val="18"/>
        </w:rPr>
      </w:pPr>
      <w:r w:rsidRPr="00A129B3">
        <w:rPr>
          <w:rFonts w:ascii="Tahoma" w:hAnsi="Tahoma" w:cs="Tahoma"/>
          <w:sz w:val="18"/>
          <w:szCs w:val="18"/>
        </w:rPr>
        <w:t>Joprojām aktīvi izmantota iespēja Latgales vēstniecības GORS telpas iznomāt</w:t>
      </w:r>
      <w:r w:rsidRPr="00A129B3">
        <w:rPr>
          <w:rFonts w:ascii="Tahoma" w:hAnsi="Tahoma" w:cs="Tahoma"/>
          <w:b/>
          <w:sz w:val="18"/>
          <w:szCs w:val="18"/>
        </w:rPr>
        <w:t xml:space="preserve"> </w:t>
      </w:r>
      <w:r w:rsidRPr="00A129B3">
        <w:rPr>
          <w:rFonts w:ascii="Tahoma" w:hAnsi="Tahoma" w:cs="Tahoma"/>
          <w:bCs/>
          <w:sz w:val="18"/>
          <w:szCs w:val="18"/>
        </w:rPr>
        <w:t>semināru, konferenču un korporatīvo pasākumu rīkotājiem.</w:t>
      </w:r>
      <w:r w:rsidRPr="00A129B3">
        <w:rPr>
          <w:rFonts w:ascii="Tahoma" w:hAnsi="Tahoma" w:cs="Tahoma"/>
          <w:b/>
          <w:sz w:val="18"/>
          <w:szCs w:val="18"/>
        </w:rPr>
        <w:t xml:space="preserve"> </w:t>
      </w:r>
      <w:r w:rsidRPr="00A129B3">
        <w:rPr>
          <w:rFonts w:ascii="Tahoma" w:hAnsi="Tahoma" w:cs="Tahoma"/>
          <w:bCs/>
          <w:sz w:val="18"/>
          <w:szCs w:val="18"/>
        </w:rPr>
        <w:t>2022. gadā notikuši</w:t>
      </w:r>
      <w:r w:rsidRPr="00A129B3">
        <w:rPr>
          <w:rFonts w:ascii="Tahoma" w:hAnsi="Tahoma" w:cs="Tahoma"/>
          <w:b/>
          <w:sz w:val="18"/>
          <w:szCs w:val="18"/>
        </w:rPr>
        <w:t xml:space="preserve"> 43 semināri un konferences. </w:t>
      </w:r>
    </w:p>
    <w:p w14:paraId="6122E5BC"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bCs/>
          <w:sz w:val="18"/>
          <w:szCs w:val="18"/>
        </w:rPr>
        <w:t>2022. gadā noorganizētas</w:t>
      </w:r>
      <w:r w:rsidRPr="00A129B3">
        <w:rPr>
          <w:rFonts w:ascii="Tahoma" w:hAnsi="Tahoma" w:cs="Tahoma"/>
          <w:b/>
          <w:sz w:val="18"/>
          <w:szCs w:val="18"/>
        </w:rPr>
        <w:t xml:space="preserve"> 147 ekskursijas 3523 cilvēkiem.</w:t>
      </w:r>
      <w:r w:rsidRPr="00A129B3">
        <w:rPr>
          <w:rFonts w:ascii="Tahoma" w:hAnsi="Tahoma" w:cs="Tahoma"/>
          <w:sz w:val="18"/>
          <w:szCs w:val="18"/>
        </w:rPr>
        <w:t xml:space="preserve"> </w:t>
      </w:r>
      <w:r w:rsidRPr="00A129B3">
        <w:rPr>
          <w:rFonts w:ascii="Tahoma" w:hAnsi="Tahoma" w:cs="Tahoma"/>
          <w:b/>
          <w:sz w:val="18"/>
          <w:szCs w:val="18"/>
        </w:rPr>
        <w:t>Kopējais Latgales vēstniecības GORS apmeklētāju skaits 2022.gadā bija 117 651</w:t>
      </w:r>
      <w:r w:rsidRPr="00A129B3">
        <w:rPr>
          <w:rFonts w:ascii="Tahoma" w:hAnsi="Tahoma" w:cs="Tahoma"/>
          <w:sz w:val="18"/>
          <w:szCs w:val="18"/>
        </w:rPr>
        <w:t>.</w:t>
      </w:r>
    </w:p>
    <w:p w14:paraId="12D43DBC" w14:textId="77777777" w:rsidR="007133E8" w:rsidRPr="00A129B3" w:rsidRDefault="007133E8" w:rsidP="007133E8">
      <w:pPr>
        <w:pStyle w:val="Parasts1"/>
        <w:spacing w:line="276" w:lineRule="auto"/>
        <w:ind w:firstLine="720"/>
        <w:jc w:val="both"/>
        <w:outlineLvl w:val="0"/>
        <w:rPr>
          <w:rFonts w:ascii="Tahoma" w:hAnsi="Tahoma" w:cs="Tahoma"/>
          <w:b/>
          <w:sz w:val="18"/>
          <w:szCs w:val="18"/>
        </w:rPr>
      </w:pPr>
      <w:r w:rsidRPr="00A129B3">
        <w:rPr>
          <w:rFonts w:ascii="Tahoma" w:hAnsi="Tahoma" w:cs="Tahoma"/>
          <w:sz w:val="18"/>
          <w:szCs w:val="18"/>
        </w:rPr>
        <w:t>2022.gadā uzņēmums attīstījis savu sniegto pakalpojumu kvalitāti, sniedzot kompleksus un savstarpēji papildinošus pakalpojumus.</w:t>
      </w:r>
    </w:p>
    <w:p w14:paraId="2F2638AF" w14:textId="77777777" w:rsidR="00B60873" w:rsidRDefault="00B60873" w:rsidP="00E23A5D">
      <w:pPr>
        <w:spacing w:before="120" w:after="120"/>
        <w:jc w:val="both"/>
        <w:rPr>
          <w:rFonts w:cs="Tahoma"/>
          <w:b/>
          <w:color w:val="FF0000"/>
          <w:szCs w:val="18"/>
          <w:u w:val="single"/>
        </w:rPr>
      </w:pPr>
    </w:p>
    <w:p w14:paraId="43C15A35" w14:textId="77777777" w:rsidR="00DE7731" w:rsidRPr="00CE0B12" w:rsidRDefault="00DE7731" w:rsidP="00E23A5D">
      <w:pPr>
        <w:spacing w:before="120" w:after="120"/>
        <w:jc w:val="both"/>
        <w:rPr>
          <w:rFonts w:cs="Tahoma"/>
          <w:b/>
          <w:color w:val="FF0000"/>
          <w:szCs w:val="18"/>
          <w:u w:val="single"/>
        </w:rPr>
      </w:pPr>
    </w:p>
    <w:p w14:paraId="1FE150A2" w14:textId="77777777" w:rsidR="00E23A5D" w:rsidRPr="00CE0B12" w:rsidRDefault="00E23A5D" w:rsidP="00E23A5D">
      <w:pPr>
        <w:spacing w:before="120" w:after="120"/>
        <w:jc w:val="both"/>
        <w:rPr>
          <w:rFonts w:cs="Tahoma"/>
          <w:b/>
          <w:color w:val="FF0000"/>
          <w:szCs w:val="18"/>
          <w:u w:val="single"/>
        </w:rPr>
      </w:pPr>
      <w:r w:rsidRPr="00CE0B12">
        <w:rPr>
          <w:rFonts w:cs="Tahoma"/>
          <w:b/>
          <w:color w:val="FF0000"/>
          <w:szCs w:val="18"/>
          <w:u w:val="single"/>
        </w:rPr>
        <w:t>SAIMNIECISKĀ DARBĪBA</w:t>
      </w:r>
    </w:p>
    <w:p w14:paraId="577C6E95" w14:textId="77777777" w:rsidR="007133E8" w:rsidRPr="00A129B3" w:rsidRDefault="007133E8" w:rsidP="007133E8">
      <w:pPr>
        <w:pStyle w:val="Parasts1"/>
        <w:spacing w:line="276" w:lineRule="auto"/>
        <w:ind w:firstLine="720"/>
        <w:jc w:val="both"/>
        <w:outlineLvl w:val="0"/>
        <w:rPr>
          <w:rFonts w:ascii="Tahoma" w:hAnsi="Tahoma" w:cs="Tahoma"/>
          <w:bCs/>
          <w:sz w:val="18"/>
          <w:szCs w:val="18"/>
        </w:rPr>
      </w:pPr>
      <w:r w:rsidRPr="00A129B3">
        <w:rPr>
          <w:rFonts w:ascii="Tahoma" w:hAnsi="Tahoma" w:cs="Tahoma"/>
          <w:bCs/>
          <w:sz w:val="18"/>
          <w:szCs w:val="18"/>
        </w:rPr>
        <w:t>2022.gadā uzņēmums maksimāli sekmējis finanšu stabilitātes atjaunošanos, veicot izdevumu struktūras izmaiņas, sniegto pakalpojumu attīstīšanu un pielāgošanu apstākļiem, piesaistot papildus līdzekļus VKKF mērķprogrammā un CFLA darbības programmā “Izaugsme un nodarbinātība” (prioritārais virziens “Pasākumi Covid-19 pandēmijas seku mazināšanai” 13.1.4. specifiskā atbalsta mērķa “Atveseļošanas pasākumi kultūras jomā” otro projektu iesniegumu atlases kārta “Daudzpusīgas profesionālās mākslas pieejamības nodrošināšana nacionālas vai reģionālas nozīmes centros Latvijā”).</w:t>
      </w:r>
    </w:p>
    <w:p w14:paraId="5BAB2DEF" w14:textId="77777777" w:rsidR="007133E8" w:rsidRPr="00A129B3" w:rsidRDefault="007133E8" w:rsidP="007133E8">
      <w:pPr>
        <w:pStyle w:val="Parasts1"/>
        <w:spacing w:line="276" w:lineRule="auto"/>
        <w:ind w:firstLine="720"/>
        <w:jc w:val="both"/>
        <w:outlineLvl w:val="0"/>
        <w:rPr>
          <w:rFonts w:ascii="Tahoma" w:hAnsi="Tahoma" w:cs="Tahoma"/>
          <w:bCs/>
          <w:sz w:val="18"/>
          <w:szCs w:val="18"/>
        </w:rPr>
      </w:pPr>
      <w:r w:rsidRPr="00A129B3">
        <w:rPr>
          <w:rFonts w:ascii="Tahoma" w:hAnsi="Tahoma" w:cs="Tahoma"/>
          <w:bCs/>
          <w:sz w:val="18"/>
          <w:szCs w:val="18"/>
        </w:rPr>
        <w:t>2022.gada pirmajos mēnešos SIA “</w:t>
      </w:r>
      <w:proofErr w:type="spellStart"/>
      <w:r w:rsidRPr="00A129B3">
        <w:rPr>
          <w:rFonts w:ascii="Tahoma" w:hAnsi="Tahoma" w:cs="Tahoma"/>
          <w:bCs/>
          <w:sz w:val="18"/>
          <w:szCs w:val="18"/>
        </w:rPr>
        <w:t>Austrumlatvijas</w:t>
      </w:r>
      <w:proofErr w:type="spellEnd"/>
      <w:r w:rsidRPr="00A129B3">
        <w:rPr>
          <w:rFonts w:ascii="Tahoma" w:hAnsi="Tahoma" w:cs="Tahoma"/>
          <w:bCs/>
          <w:sz w:val="18"/>
          <w:szCs w:val="18"/>
        </w:rPr>
        <w:t xml:space="preserve"> koncertzāle” darbību un finanšu rādītājus joprojām ietekmēja COVID-19 krīze un tās ierobežojumi (prasība publiskos pasākumos nēsāt maskas).  Tomēr Krievijas uzsāktā kara dēļ, šīs krīzes sekas pārklāja jaunas rūpes un neziņa, kas arī neveicināja cilvēku optimismu un vēlmi apmeklēt kultūras pasākumus. Neskatoties uz sarežģītajiem 2022.gada sabiedriski politiskajiem apstākļiem uzņēmums maksimāli sekmēja finanšu stabilitātes saglabāšanos, veicot izdevumu struktūras izmaiņas, sniegto pakalpojumu pielāgošanu pārmaiņu apstākļiem, piesaistot papildus līdzekļus no Eiropas Reģionālās attīstības fonda, arī VKKF un VKKF Latgales mērķprogrammas.</w:t>
      </w:r>
    </w:p>
    <w:p w14:paraId="510E0191"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sz w:val="18"/>
          <w:szCs w:val="18"/>
        </w:rPr>
        <w:t>2022.gadā SIA “</w:t>
      </w:r>
      <w:proofErr w:type="spellStart"/>
      <w:r w:rsidRPr="00A129B3">
        <w:rPr>
          <w:rFonts w:ascii="Tahoma" w:hAnsi="Tahoma" w:cs="Tahoma"/>
          <w:sz w:val="18"/>
          <w:szCs w:val="18"/>
        </w:rPr>
        <w:t>Austrumlatvijas</w:t>
      </w:r>
      <w:proofErr w:type="spellEnd"/>
      <w:r w:rsidRPr="00A129B3">
        <w:rPr>
          <w:rFonts w:ascii="Tahoma" w:hAnsi="Tahoma" w:cs="Tahoma"/>
          <w:sz w:val="18"/>
          <w:szCs w:val="18"/>
        </w:rPr>
        <w:t xml:space="preserve"> koncertzāle” ieņēmumi bija 1885.7 tūkst. EUR, t.sk. pašu ieņēmumi  </w:t>
      </w:r>
      <w:r w:rsidRPr="00A129B3">
        <w:rPr>
          <w:rFonts w:ascii="Tahoma" w:hAnsi="Tahoma" w:cs="Tahoma"/>
          <w:b/>
          <w:sz w:val="18"/>
          <w:szCs w:val="18"/>
        </w:rPr>
        <w:t>795.1</w:t>
      </w:r>
      <w:r w:rsidRPr="00A129B3">
        <w:rPr>
          <w:rFonts w:ascii="Tahoma" w:hAnsi="Tahoma" w:cs="Tahoma"/>
          <w:sz w:val="18"/>
          <w:szCs w:val="18"/>
        </w:rPr>
        <w:t xml:space="preserve"> tūkst. EUR (2021.gadā 1604.8 tūkst. EUR, t.sk. pašu ieņēmumi  518.2 tūkst. EUR), izdevumi – 1907.8 tūkst. EUR (2021.gadā attiecīgi 1582.3  tūkst. EUR). Uzņēmums gadu noslēdza ar 22107 EUR zaudējumiem pirms uzņēmuma ienākuma nodokļa aprēķināšanas (2021.gadā ar peļņu 22468 EUR). Uzņēmuma zaudējumu galvenais iemesls ir ievērojamais siltumapgādes un elektroapgādes izmaksu pieaugums.</w:t>
      </w:r>
    </w:p>
    <w:p w14:paraId="215EE60E" w14:textId="77777777" w:rsidR="007133E8" w:rsidRPr="00A129B3" w:rsidRDefault="007133E8" w:rsidP="007133E8">
      <w:pPr>
        <w:pStyle w:val="Parasts1"/>
        <w:spacing w:line="276" w:lineRule="auto"/>
        <w:ind w:firstLine="720"/>
        <w:jc w:val="both"/>
        <w:rPr>
          <w:rFonts w:ascii="Tahoma" w:hAnsi="Tahoma" w:cs="Tahoma"/>
          <w:sz w:val="18"/>
          <w:szCs w:val="18"/>
        </w:rPr>
      </w:pPr>
      <w:r w:rsidRPr="00A129B3">
        <w:rPr>
          <w:rFonts w:ascii="Tahoma" w:hAnsi="Tahoma" w:cs="Tahoma"/>
          <w:sz w:val="18"/>
          <w:szCs w:val="18"/>
        </w:rPr>
        <w:t xml:space="preserve">Nodokļu veidā valsts un pašvaldību budžetos uzņēmums 2022.gadā iemaksājis 458.0 tūkst. EUR (344.7  tūkst. EUR 2021.gadā). </w:t>
      </w:r>
    </w:p>
    <w:p w14:paraId="50AC5A69"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sz w:val="18"/>
          <w:szCs w:val="18"/>
        </w:rPr>
        <w:t xml:space="preserve">Pašvaldības dotācija pārskata gadā ir 854.6 tūks. EUR, tajā skaitā uzņēmuma uzturēšanas izdevumu līdzfinansēšanai 2022.gadā ir  698.8 </w:t>
      </w:r>
      <w:proofErr w:type="spellStart"/>
      <w:r w:rsidRPr="00A129B3">
        <w:rPr>
          <w:rFonts w:ascii="Tahoma" w:hAnsi="Tahoma" w:cs="Tahoma"/>
          <w:sz w:val="18"/>
          <w:szCs w:val="18"/>
        </w:rPr>
        <w:t>tūkst.EUR</w:t>
      </w:r>
      <w:proofErr w:type="spellEnd"/>
      <w:r w:rsidRPr="00A129B3">
        <w:rPr>
          <w:rFonts w:ascii="Tahoma" w:hAnsi="Tahoma" w:cs="Tahoma"/>
          <w:sz w:val="18"/>
          <w:szCs w:val="18"/>
        </w:rPr>
        <w:t xml:space="preserve"> (2021.gadā - 608.8 tūkst. EUR). Savukārt dotācija pūšamo instrumentu orķestra “Rēzekne” izdevumu segšanai, izdevumi orķestra darbībai palika nemainīgi un bija 120.8 tūkst. EUR (2021. gadā -  120.8 tūkst. EUR). </w:t>
      </w:r>
    </w:p>
    <w:p w14:paraId="7F15583D" w14:textId="77777777" w:rsidR="007133E8" w:rsidRPr="00A129B3" w:rsidRDefault="007133E8" w:rsidP="007133E8">
      <w:pPr>
        <w:pStyle w:val="Parasts1"/>
        <w:spacing w:line="276" w:lineRule="auto"/>
        <w:ind w:firstLine="720"/>
        <w:jc w:val="both"/>
        <w:outlineLvl w:val="0"/>
        <w:rPr>
          <w:rFonts w:ascii="Tahoma" w:hAnsi="Tahoma" w:cs="Tahoma"/>
          <w:sz w:val="18"/>
          <w:szCs w:val="18"/>
        </w:rPr>
      </w:pPr>
      <w:r w:rsidRPr="00A129B3">
        <w:rPr>
          <w:rFonts w:ascii="Tahoma" w:hAnsi="Tahoma" w:cs="Tahoma"/>
          <w:sz w:val="18"/>
          <w:szCs w:val="18"/>
        </w:rPr>
        <w:t>Uzņēmums piesaistījis arī papildus līdzekļus tā darbības nodrošināšanai dažādos projektu konkursos, no kuriem būtiskākais ir Valsts Kultūrkapitāla fonda projektu konkurss profesionālās mākslas pieejamības nodrošināšanai reģionos. Tā ietvaros 2022.gadā izlietoti  259.8 tūkst. EUR (2021.gadā 218.3 tūkst. EUR).</w:t>
      </w:r>
    </w:p>
    <w:p w14:paraId="70E72427" w14:textId="77777777" w:rsidR="007133E8" w:rsidRPr="00A129B3" w:rsidRDefault="007133E8" w:rsidP="007133E8">
      <w:pPr>
        <w:pStyle w:val="Parasts1"/>
        <w:ind w:firstLine="720"/>
        <w:rPr>
          <w:rFonts w:ascii="Tahoma" w:hAnsi="Tahoma" w:cs="Tahoma"/>
          <w:sz w:val="18"/>
          <w:szCs w:val="18"/>
        </w:rPr>
      </w:pPr>
      <w:r w:rsidRPr="00A129B3">
        <w:rPr>
          <w:rFonts w:ascii="Tahoma" w:hAnsi="Tahoma" w:cs="Tahoma"/>
          <w:sz w:val="18"/>
          <w:szCs w:val="18"/>
        </w:rPr>
        <w:t>Uzņēmumam ir saglabāti pozitīvi uzņēmuma likviditātes rādītāji.</w:t>
      </w:r>
    </w:p>
    <w:p w14:paraId="623B5F77" w14:textId="77777777" w:rsidR="007133E8" w:rsidRPr="00A129B3" w:rsidRDefault="007133E8" w:rsidP="007133E8">
      <w:pPr>
        <w:pStyle w:val="Parasts1"/>
        <w:ind w:firstLine="720"/>
        <w:rPr>
          <w:rFonts w:ascii="Tahoma" w:hAnsi="Tahoma" w:cs="Tahoma"/>
          <w:sz w:val="18"/>
          <w:szCs w:val="18"/>
        </w:rPr>
      </w:pPr>
    </w:p>
    <w:p w14:paraId="1ACA5058" w14:textId="77777777" w:rsidR="007133E8" w:rsidRPr="00A129B3" w:rsidRDefault="007133E8" w:rsidP="007133E8">
      <w:pPr>
        <w:pStyle w:val="Parasts1"/>
        <w:rPr>
          <w:rFonts w:ascii="Tahoma" w:hAnsi="Tahoma" w:cs="Tahoma"/>
          <w:i/>
          <w:sz w:val="18"/>
          <w:szCs w:val="18"/>
          <w:shd w:val="clear" w:color="auto" w:fill="FFFFFF"/>
          <w:lang w:eastAsia="en-US"/>
        </w:rPr>
      </w:pPr>
      <w:r w:rsidRPr="00A129B3">
        <w:rPr>
          <w:rFonts w:ascii="Tahoma" w:hAnsi="Tahoma" w:cs="Tahoma"/>
          <w:i/>
          <w:sz w:val="18"/>
          <w:szCs w:val="18"/>
          <w:shd w:val="clear" w:color="auto" w:fill="FFFFFF"/>
          <w:lang w:eastAsia="en-US"/>
        </w:rPr>
        <w:lastRenderedPageBreak/>
        <w:t>Likviditātes rādītāji:</w:t>
      </w:r>
    </w:p>
    <w:tbl>
      <w:tblPr>
        <w:tblW w:w="9341" w:type="dxa"/>
        <w:tblCellMar>
          <w:left w:w="0" w:type="dxa"/>
          <w:right w:w="0" w:type="dxa"/>
        </w:tblCellMar>
        <w:tblLook w:val="0000" w:firstRow="0" w:lastRow="0" w:firstColumn="0" w:lastColumn="0" w:noHBand="0" w:noVBand="0"/>
      </w:tblPr>
      <w:tblGrid>
        <w:gridCol w:w="2511"/>
        <w:gridCol w:w="2917"/>
        <w:gridCol w:w="110"/>
        <w:gridCol w:w="203"/>
        <w:gridCol w:w="2008"/>
        <w:gridCol w:w="871"/>
        <w:gridCol w:w="1013"/>
      </w:tblGrid>
      <w:tr w:rsidR="007133E8" w:rsidRPr="00A129B3" w14:paraId="2A59CA68" w14:textId="77777777" w:rsidTr="00A960CD">
        <w:trPr>
          <w:cantSplit/>
          <w:trHeight w:val="136"/>
        </w:trPr>
        <w:tc>
          <w:tcPr>
            <w:tcW w:w="2471" w:type="dxa"/>
            <w:vMerge w:val="restart"/>
            <w:tcBorders>
              <w:top w:val="single" w:sz="4" w:space="0" w:color="000000"/>
              <w:left w:val="single" w:sz="4" w:space="0" w:color="000000"/>
              <w:bottom w:val="single" w:sz="4" w:space="0" w:color="000000"/>
              <w:right w:val="nil"/>
            </w:tcBorders>
            <w:tcMar>
              <w:top w:w="15" w:type="dxa"/>
              <w:left w:w="15" w:type="dxa"/>
              <w:bottom w:w="0" w:type="dxa"/>
              <w:right w:w="15" w:type="dxa"/>
            </w:tcMar>
            <w:vAlign w:val="bottom"/>
          </w:tcPr>
          <w:p w14:paraId="5E78F9F6"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6"/>
                <w:szCs w:val="16"/>
                <w:lang w:eastAsia="en-US"/>
              </w:rPr>
              <w:t>Likviditātes seguma koeficients=</w:t>
            </w:r>
          </w:p>
        </w:tc>
        <w:tc>
          <w:tcPr>
            <w:tcW w:w="3252" w:type="dxa"/>
            <w:gridSpan w:val="3"/>
            <w:tcBorders>
              <w:top w:val="single" w:sz="4" w:space="0" w:color="000000"/>
              <w:left w:val="nil"/>
              <w:bottom w:val="single" w:sz="4" w:space="0" w:color="000000"/>
              <w:right w:val="nil"/>
            </w:tcBorders>
            <w:noWrap/>
            <w:tcMar>
              <w:top w:w="15" w:type="dxa"/>
              <w:left w:w="15" w:type="dxa"/>
              <w:bottom w:w="0" w:type="dxa"/>
              <w:right w:w="15" w:type="dxa"/>
            </w:tcMar>
            <w:vAlign w:val="bottom"/>
          </w:tcPr>
          <w:p w14:paraId="621A42D5" w14:textId="77777777" w:rsidR="007133E8" w:rsidRPr="00A129B3" w:rsidRDefault="007133E8" w:rsidP="00A960CD">
            <w:pPr>
              <w:pStyle w:val="Parasts1"/>
              <w:rPr>
                <w:rFonts w:ascii="Tahoma" w:eastAsia="Arial Unicode MS" w:hAnsi="Tahoma" w:cs="Tahoma"/>
                <w:sz w:val="16"/>
                <w:szCs w:val="16"/>
                <w:lang w:eastAsia="en-US"/>
              </w:rPr>
            </w:pPr>
            <w:proofErr w:type="spellStart"/>
            <w:r w:rsidRPr="00A129B3">
              <w:rPr>
                <w:rFonts w:ascii="Tahoma" w:hAnsi="Tahoma" w:cs="Tahoma"/>
                <w:sz w:val="16"/>
                <w:szCs w:val="16"/>
                <w:lang w:eastAsia="en-US"/>
              </w:rPr>
              <w:t>debitori+nauda+īst.vērtspapīri</w:t>
            </w:r>
            <w:proofErr w:type="spellEnd"/>
          </w:p>
        </w:tc>
        <w:tc>
          <w:tcPr>
            <w:tcW w:w="1721" w:type="dxa"/>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2482D7DF" w14:textId="77777777" w:rsidR="007133E8" w:rsidRPr="00A129B3" w:rsidRDefault="007133E8" w:rsidP="00A960CD">
            <w:pPr>
              <w:pStyle w:val="Parasts1"/>
              <w:jc w:val="center"/>
              <w:rPr>
                <w:rFonts w:ascii="Tahoma" w:eastAsia="Arial Unicode MS" w:hAnsi="Tahoma" w:cs="Tahoma"/>
                <w:sz w:val="16"/>
                <w:szCs w:val="16"/>
                <w:lang w:eastAsia="en-US"/>
              </w:rPr>
            </w:pPr>
            <w:r w:rsidRPr="00A129B3">
              <w:rPr>
                <w:rFonts w:ascii="Tahoma" w:hAnsi="Tahoma" w:cs="Tahoma"/>
                <w:sz w:val="16"/>
                <w:szCs w:val="16"/>
                <w:lang w:eastAsia="en-US"/>
              </w:rPr>
              <w:t> </w:t>
            </w:r>
          </w:p>
        </w:tc>
        <w:tc>
          <w:tcPr>
            <w:tcW w:w="877" w:type="dxa"/>
            <w:tcBorders>
              <w:top w:val="nil"/>
              <w:left w:val="nil"/>
              <w:bottom w:val="nil"/>
              <w:right w:val="nil"/>
            </w:tcBorders>
            <w:noWrap/>
            <w:tcMar>
              <w:top w:w="15" w:type="dxa"/>
              <w:left w:w="15" w:type="dxa"/>
              <w:bottom w:w="0" w:type="dxa"/>
              <w:right w:w="15" w:type="dxa"/>
            </w:tcMar>
            <w:vAlign w:val="bottom"/>
          </w:tcPr>
          <w:p w14:paraId="4AA04E78" w14:textId="77777777" w:rsidR="007133E8" w:rsidRPr="00A129B3" w:rsidRDefault="007133E8" w:rsidP="00A960CD">
            <w:pPr>
              <w:pStyle w:val="Parasts1"/>
              <w:rPr>
                <w:rFonts w:ascii="Tahoma" w:eastAsia="Arial Unicode MS" w:hAnsi="Tahoma" w:cs="Tahoma"/>
                <w:sz w:val="18"/>
                <w:szCs w:val="18"/>
                <w:lang w:eastAsia="en-US"/>
              </w:rPr>
            </w:pPr>
          </w:p>
        </w:tc>
        <w:tc>
          <w:tcPr>
            <w:tcW w:w="1020" w:type="dxa"/>
            <w:tcBorders>
              <w:top w:val="nil"/>
              <w:left w:val="nil"/>
              <w:bottom w:val="nil"/>
              <w:right w:val="nil"/>
            </w:tcBorders>
            <w:noWrap/>
            <w:tcMar>
              <w:top w:w="15" w:type="dxa"/>
              <w:left w:w="15" w:type="dxa"/>
              <w:bottom w:w="0" w:type="dxa"/>
              <w:right w:w="15" w:type="dxa"/>
            </w:tcMar>
            <w:vAlign w:val="bottom"/>
          </w:tcPr>
          <w:p w14:paraId="02EF1DE0" w14:textId="77777777" w:rsidR="007133E8" w:rsidRPr="00A129B3" w:rsidRDefault="007133E8" w:rsidP="00A960CD">
            <w:pPr>
              <w:pStyle w:val="Parasts1"/>
              <w:rPr>
                <w:rFonts w:ascii="Tahoma" w:eastAsia="Arial Unicode MS" w:hAnsi="Tahoma" w:cs="Tahoma"/>
                <w:sz w:val="18"/>
                <w:szCs w:val="18"/>
                <w:highlight w:val="yellow"/>
                <w:lang w:eastAsia="en-US"/>
              </w:rPr>
            </w:pPr>
          </w:p>
        </w:tc>
      </w:tr>
      <w:tr w:rsidR="007133E8" w:rsidRPr="00A129B3" w14:paraId="7476B922" w14:textId="77777777" w:rsidTr="00A960CD">
        <w:trPr>
          <w:cantSplit/>
          <w:trHeight w:val="253"/>
        </w:trPr>
        <w:tc>
          <w:tcPr>
            <w:tcW w:w="0" w:type="auto"/>
            <w:vMerge/>
            <w:tcBorders>
              <w:top w:val="single" w:sz="4" w:space="0" w:color="000000"/>
              <w:left w:val="single" w:sz="4" w:space="0" w:color="000000"/>
              <w:bottom w:val="single" w:sz="4" w:space="0" w:color="000000"/>
              <w:right w:val="nil"/>
            </w:tcBorders>
            <w:vAlign w:val="center"/>
          </w:tcPr>
          <w:p w14:paraId="51B6BBD1"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tcBorders>
              <w:top w:val="nil"/>
              <w:left w:val="nil"/>
              <w:bottom w:val="single" w:sz="4" w:space="0" w:color="000000"/>
              <w:right w:val="nil"/>
            </w:tcBorders>
            <w:noWrap/>
            <w:tcMar>
              <w:top w:w="15" w:type="dxa"/>
              <w:left w:w="15" w:type="dxa"/>
              <w:bottom w:w="0" w:type="dxa"/>
              <w:right w:w="15" w:type="dxa"/>
            </w:tcMar>
            <w:vAlign w:val="bottom"/>
          </w:tcPr>
          <w:p w14:paraId="6A502F11"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6"/>
                <w:szCs w:val="16"/>
                <w:lang w:eastAsia="en-US"/>
              </w:rPr>
              <w:t>Īstermiņa saistības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14:paraId="212A9FD4"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6"/>
                <w:szCs w:val="16"/>
                <w:lang w:eastAsia="en-US"/>
              </w:rPr>
              <w:t> </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14:paraId="7B425D22"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6"/>
                <w:szCs w:val="16"/>
                <w:lang w:eastAsia="en-US"/>
              </w:rPr>
              <w:t> </w:t>
            </w:r>
          </w:p>
        </w:tc>
        <w:tc>
          <w:tcPr>
            <w:tcW w:w="0" w:type="auto"/>
            <w:vMerge/>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3BFBC861"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454301C9" w14:textId="77777777" w:rsidR="007133E8" w:rsidRPr="00A129B3" w:rsidRDefault="007133E8" w:rsidP="00A960CD">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36A85FFA" w14:textId="77777777" w:rsidR="007133E8" w:rsidRPr="00A129B3" w:rsidRDefault="007133E8" w:rsidP="00A960CD">
            <w:pPr>
              <w:pStyle w:val="Parasts1"/>
              <w:rPr>
                <w:rFonts w:ascii="Tahoma" w:eastAsia="Arial Unicode MS" w:hAnsi="Tahoma" w:cs="Tahoma"/>
                <w:sz w:val="18"/>
                <w:szCs w:val="18"/>
                <w:highlight w:val="yellow"/>
                <w:lang w:eastAsia="en-US"/>
              </w:rPr>
            </w:pPr>
          </w:p>
        </w:tc>
      </w:tr>
      <w:tr w:rsidR="007133E8" w:rsidRPr="00A129B3" w14:paraId="2CD3927E" w14:textId="77777777" w:rsidTr="00A960CD">
        <w:trPr>
          <w:cantSplit/>
          <w:trHeight w:val="253"/>
        </w:trPr>
        <w:tc>
          <w:tcPr>
            <w:tcW w:w="0" w:type="auto"/>
            <w:vMerge w:val="restart"/>
            <w:tcBorders>
              <w:top w:val="single" w:sz="4" w:space="0" w:color="000000"/>
              <w:left w:val="single" w:sz="4" w:space="0" w:color="000000"/>
              <w:bottom w:val="single" w:sz="4" w:space="0" w:color="000000"/>
              <w:right w:val="nil"/>
            </w:tcBorders>
            <w:noWrap/>
            <w:tcMar>
              <w:top w:w="15" w:type="dxa"/>
              <w:left w:w="15" w:type="dxa"/>
              <w:bottom w:w="0" w:type="dxa"/>
              <w:right w:w="15" w:type="dxa"/>
            </w:tcMar>
            <w:vAlign w:val="bottom"/>
          </w:tcPr>
          <w:p w14:paraId="09A939DA"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6"/>
                <w:szCs w:val="16"/>
                <w:lang w:eastAsia="en-US"/>
              </w:rPr>
              <w:t xml:space="preserve">Kopējais likviditātes seguma </w:t>
            </w:r>
            <w:proofErr w:type="spellStart"/>
            <w:r w:rsidRPr="00A129B3">
              <w:rPr>
                <w:rFonts w:ascii="Tahoma" w:hAnsi="Tahoma" w:cs="Tahoma"/>
                <w:sz w:val="16"/>
                <w:szCs w:val="16"/>
                <w:lang w:eastAsia="en-US"/>
              </w:rPr>
              <w:t>koef</w:t>
            </w:r>
            <w:proofErr w:type="spellEnd"/>
            <w:r w:rsidRPr="00A129B3">
              <w:rPr>
                <w:rFonts w:ascii="Tahoma" w:hAnsi="Tahoma" w:cs="Tahoma"/>
                <w:sz w:val="16"/>
                <w:szCs w:val="16"/>
                <w:lang w:eastAsia="en-US"/>
              </w:rPr>
              <w:t>.=</w:t>
            </w:r>
          </w:p>
        </w:tc>
        <w:tc>
          <w:tcPr>
            <w:tcW w:w="0" w:type="auto"/>
            <w:gridSpan w:val="2"/>
            <w:tcBorders>
              <w:top w:val="single" w:sz="4" w:space="0" w:color="000000"/>
              <w:left w:val="nil"/>
              <w:bottom w:val="single" w:sz="4" w:space="0" w:color="000000"/>
              <w:right w:val="nil"/>
            </w:tcBorders>
            <w:noWrap/>
            <w:tcMar>
              <w:top w:w="15" w:type="dxa"/>
              <w:left w:w="15" w:type="dxa"/>
              <w:bottom w:w="0" w:type="dxa"/>
              <w:right w:w="15" w:type="dxa"/>
            </w:tcMar>
            <w:vAlign w:val="bottom"/>
          </w:tcPr>
          <w:p w14:paraId="3C1D1445"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6"/>
                <w:szCs w:val="16"/>
                <w:lang w:eastAsia="en-US"/>
              </w:rPr>
              <w:t>Apgrozāmie līdzekļi</w:t>
            </w:r>
          </w:p>
        </w:tc>
        <w:tc>
          <w:tcPr>
            <w:tcW w:w="0" w:type="auto"/>
            <w:tcBorders>
              <w:top w:val="single" w:sz="4" w:space="0" w:color="000000"/>
              <w:left w:val="nil"/>
              <w:bottom w:val="single" w:sz="4" w:space="0" w:color="000000"/>
              <w:right w:val="nil"/>
            </w:tcBorders>
            <w:noWrap/>
            <w:tcMar>
              <w:top w:w="15" w:type="dxa"/>
              <w:left w:w="15" w:type="dxa"/>
              <w:bottom w:w="0" w:type="dxa"/>
              <w:right w:w="15" w:type="dxa"/>
            </w:tcMar>
            <w:vAlign w:val="bottom"/>
          </w:tcPr>
          <w:p w14:paraId="429F7E1F"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6"/>
                <w:szCs w:val="16"/>
                <w:lang w:eastAsia="en-US"/>
              </w:rPr>
              <w:t> </w:t>
            </w:r>
          </w:p>
        </w:tc>
        <w:tc>
          <w:tcPr>
            <w:tcW w:w="0" w:type="auto"/>
            <w:vMerge w:val="restar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7BB64A0B" w14:textId="77777777" w:rsidR="007133E8" w:rsidRPr="00A129B3" w:rsidRDefault="007133E8" w:rsidP="00A960CD">
            <w:pPr>
              <w:pStyle w:val="Parasts1"/>
              <w:jc w:val="center"/>
              <w:rPr>
                <w:rFonts w:ascii="Tahoma" w:eastAsia="Arial Unicode MS" w:hAnsi="Tahoma" w:cs="Tahoma"/>
                <w:sz w:val="16"/>
                <w:szCs w:val="16"/>
                <w:lang w:eastAsia="en-US"/>
              </w:rPr>
            </w:pPr>
            <w:r w:rsidRPr="00A129B3">
              <w:rPr>
                <w:rFonts w:ascii="Tahoma" w:hAnsi="Tahoma" w:cs="Tahoma"/>
                <w:sz w:val="16"/>
                <w:szCs w:val="16"/>
                <w:lang w:eastAsia="en-US"/>
              </w:rPr>
              <w:t> </w:t>
            </w:r>
          </w:p>
        </w:tc>
        <w:tc>
          <w:tcPr>
            <w:tcW w:w="0" w:type="auto"/>
            <w:tcBorders>
              <w:top w:val="nil"/>
              <w:left w:val="nil"/>
              <w:bottom w:val="nil"/>
              <w:right w:val="nil"/>
            </w:tcBorders>
            <w:noWrap/>
            <w:tcMar>
              <w:top w:w="15" w:type="dxa"/>
              <w:left w:w="15" w:type="dxa"/>
              <w:bottom w:w="0" w:type="dxa"/>
              <w:right w:w="15" w:type="dxa"/>
            </w:tcMar>
            <w:vAlign w:val="bottom"/>
          </w:tcPr>
          <w:p w14:paraId="1B437F96" w14:textId="77777777" w:rsidR="007133E8" w:rsidRPr="00A129B3" w:rsidRDefault="007133E8" w:rsidP="00A960CD">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07824D13" w14:textId="77777777" w:rsidR="007133E8" w:rsidRPr="00A129B3" w:rsidRDefault="007133E8" w:rsidP="00A960CD">
            <w:pPr>
              <w:pStyle w:val="Parasts1"/>
              <w:rPr>
                <w:rFonts w:ascii="Tahoma" w:eastAsia="Arial Unicode MS" w:hAnsi="Tahoma" w:cs="Tahoma"/>
                <w:sz w:val="18"/>
                <w:szCs w:val="18"/>
                <w:highlight w:val="yellow"/>
                <w:lang w:eastAsia="en-US"/>
              </w:rPr>
            </w:pPr>
          </w:p>
        </w:tc>
      </w:tr>
      <w:tr w:rsidR="007133E8" w:rsidRPr="00A129B3" w14:paraId="59F6932F" w14:textId="77777777" w:rsidTr="00A960CD">
        <w:trPr>
          <w:cantSplit/>
          <w:trHeight w:val="216"/>
        </w:trPr>
        <w:tc>
          <w:tcPr>
            <w:tcW w:w="0" w:type="auto"/>
            <w:vMerge/>
            <w:tcBorders>
              <w:top w:val="single" w:sz="4" w:space="0" w:color="000000"/>
              <w:left w:val="single" w:sz="4" w:space="0" w:color="000000"/>
              <w:bottom w:val="single" w:sz="4" w:space="0" w:color="000000"/>
              <w:right w:val="nil"/>
            </w:tcBorders>
            <w:vAlign w:val="center"/>
          </w:tcPr>
          <w:p w14:paraId="4BA7B547"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gridSpan w:val="2"/>
            <w:tcBorders>
              <w:top w:val="nil"/>
              <w:left w:val="nil"/>
              <w:bottom w:val="single" w:sz="4" w:space="0" w:color="000000"/>
              <w:right w:val="nil"/>
            </w:tcBorders>
            <w:noWrap/>
            <w:tcMar>
              <w:top w:w="15" w:type="dxa"/>
              <w:left w:w="15" w:type="dxa"/>
              <w:bottom w:w="0" w:type="dxa"/>
              <w:right w:w="15" w:type="dxa"/>
            </w:tcMar>
            <w:vAlign w:val="bottom"/>
          </w:tcPr>
          <w:p w14:paraId="7BE245E6"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6"/>
                <w:szCs w:val="16"/>
                <w:lang w:eastAsia="en-US"/>
              </w:rPr>
              <w:t>Īstermiņa saistības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14:paraId="32A071FB"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6"/>
                <w:szCs w:val="16"/>
                <w:lang w:eastAsia="en-US"/>
              </w:rPr>
              <w:t> </w:t>
            </w:r>
          </w:p>
        </w:tc>
        <w:tc>
          <w:tcPr>
            <w:tcW w:w="0" w:type="auto"/>
            <w:vMerge/>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5041738A"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79FA484D" w14:textId="77777777" w:rsidR="007133E8" w:rsidRPr="00A129B3" w:rsidRDefault="007133E8" w:rsidP="00A960CD">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11B4A3A4" w14:textId="77777777" w:rsidR="007133E8" w:rsidRPr="00A129B3" w:rsidRDefault="007133E8" w:rsidP="00A960CD">
            <w:pPr>
              <w:pStyle w:val="Parasts1"/>
              <w:rPr>
                <w:rFonts w:ascii="Tahoma" w:eastAsia="Arial Unicode MS" w:hAnsi="Tahoma" w:cs="Tahoma"/>
                <w:sz w:val="18"/>
                <w:szCs w:val="18"/>
                <w:highlight w:val="yellow"/>
                <w:lang w:eastAsia="en-US"/>
              </w:rPr>
            </w:pPr>
          </w:p>
        </w:tc>
      </w:tr>
      <w:tr w:rsidR="007133E8" w:rsidRPr="00A129B3" w14:paraId="21D12818" w14:textId="77777777" w:rsidTr="00A960CD">
        <w:trPr>
          <w:cantSplit/>
          <w:trHeight w:val="417"/>
        </w:trPr>
        <w:tc>
          <w:tcPr>
            <w:tcW w:w="2471" w:type="dxa"/>
            <w:vMerge w:val="restart"/>
            <w:tcBorders>
              <w:top w:val="nil"/>
              <w:left w:val="nil"/>
              <w:bottom w:val="nil"/>
              <w:right w:val="nil"/>
            </w:tcBorders>
            <w:tcMar>
              <w:top w:w="15" w:type="dxa"/>
              <w:left w:w="15" w:type="dxa"/>
              <w:bottom w:w="0" w:type="dxa"/>
              <w:right w:w="15" w:type="dxa"/>
            </w:tcMar>
            <w:vAlign w:val="bottom"/>
          </w:tcPr>
          <w:p w14:paraId="63794C49" w14:textId="77777777" w:rsidR="007133E8" w:rsidRPr="00A129B3" w:rsidRDefault="007133E8" w:rsidP="00A960CD">
            <w:pPr>
              <w:pStyle w:val="Parasts1"/>
              <w:rPr>
                <w:rFonts w:ascii="Tahoma" w:hAnsi="Tahoma" w:cs="Tahoma"/>
                <w:sz w:val="16"/>
                <w:szCs w:val="16"/>
                <w:lang w:eastAsia="en-US"/>
              </w:rPr>
            </w:pPr>
          </w:p>
          <w:p w14:paraId="3F708109" w14:textId="77777777" w:rsidR="007133E8" w:rsidRPr="00A129B3" w:rsidRDefault="007133E8" w:rsidP="00A960CD">
            <w:pPr>
              <w:pStyle w:val="Parasts1"/>
              <w:rPr>
                <w:rFonts w:ascii="Tahoma" w:hAnsi="Tahoma" w:cs="Tahoma"/>
                <w:sz w:val="16"/>
                <w:szCs w:val="16"/>
                <w:lang w:eastAsia="en-US"/>
              </w:rPr>
            </w:pPr>
          </w:p>
          <w:p w14:paraId="5A12FB0D"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6"/>
                <w:szCs w:val="16"/>
                <w:lang w:eastAsia="en-US"/>
              </w:rPr>
              <w:t>Likviditātes seguma koeficients=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14:paraId="25361830"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eastAsia="Arial Unicode MS" w:hAnsi="Tahoma" w:cs="Tahoma"/>
                <w:sz w:val="16"/>
                <w:szCs w:val="16"/>
                <w:lang w:eastAsia="en-US"/>
              </w:rPr>
              <w:t xml:space="preserve">    (28434+283122) =311556</w:t>
            </w:r>
          </w:p>
        </w:tc>
        <w:tc>
          <w:tcPr>
            <w:tcW w:w="0" w:type="auto"/>
            <w:vMerge w:val="restart"/>
            <w:tcBorders>
              <w:top w:val="nil"/>
              <w:left w:val="nil"/>
              <w:bottom w:val="nil"/>
              <w:right w:val="nil"/>
            </w:tcBorders>
            <w:noWrap/>
            <w:tcMar>
              <w:top w:w="15" w:type="dxa"/>
              <w:left w:w="15" w:type="dxa"/>
              <w:bottom w:w="0" w:type="dxa"/>
              <w:right w:w="15" w:type="dxa"/>
            </w:tcMar>
            <w:vAlign w:val="bottom"/>
          </w:tcPr>
          <w:p w14:paraId="274AA395"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vMerge w:val="restart"/>
            <w:tcBorders>
              <w:top w:val="nil"/>
              <w:left w:val="nil"/>
              <w:bottom w:val="nil"/>
              <w:right w:val="nil"/>
            </w:tcBorders>
            <w:noWrap/>
            <w:tcMar>
              <w:top w:w="15" w:type="dxa"/>
              <w:left w:w="15" w:type="dxa"/>
              <w:bottom w:w="0" w:type="dxa"/>
              <w:right w:w="15" w:type="dxa"/>
            </w:tcMar>
            <w:vAlign w:val="bottom"/>
          </w:tcPr>
          <w:p w14:paraId="7572632B" w14:textId="77777777" w:rsidR="007133E8" w:rsidRPr="00A129B3" w:rsidRDefault="007133E8" w:rsidP="00A960CD">
            <w:pPr>
              <w:pStyle w:val="Parasts1"/>
              <w:jc w:val="center"/>
              <w:rPr>
                <w:rFonts w:ascii="Tahoma" w:eastAsia="Arial Unicode MS" w:hAnsi="Tahoma" w:cs="Tahoma"/>
                <w:sz w:val="16"/>
                <w:szCs w:val="16"/>
                <w:lang w:eastAsia="en-US"/>
              </w:rPr>
            </w:pPr>
            <w:r w:rsidRPr="00A129B3">
              <w:rPr>
                <w:rFonts w:ascii="Tahoma" w:hAnsi="Tahoma" w:cs="Tahoma"/>
                <w:sz w:val="16"/>
                <w:szCs w:val="16"/>
                <w:lang w:eastAsia="en-US"/>
              </w:rPr>
              <w:t>=</w:t>
            </w:r>
          </w:p>
        </w:tc>
        <w:tc>
          <w:tcPr>
            <w:tcW w:w="0" w:type="auto"/>
            <w:vMerge w:val="restart"/>
            <w:tcBorders>
              <w:top w:val="nil"/>
              <w:left w:val="nil"/>
              <w:bottom w:val="nil"/>
              <w:right w:val="nil"/>
            </w:tcBorders>
            <w:noWrap/>
            <w:tcMar>
              <w:top w:w="15" w:type="dxa"/>
              <w:left w:w="15" w:type="dxa"/>
              <w:bottom w:w="0" w:type="dxa"/>
              <w:right w:w="15" w:type="dxa"/>
            </w:tcMar>
            <w:vAlign w:val="bottom"/>
          </w:tcPr>
          <w:p w14:paraId="405352DF" w14:textId="77777777" w:rsidR="007133E8" w:rsidRPr="00A129B3" w:rsidRDefault="007133E8" w:rsidP="00A960CD">
            <w:pPr>
              <w:pStyle w:val="Parasts1"/>
              <w:rPr>
                <w:rFonts w:ascii="Tahoma" w:eastAsia="Arial Unicode MS" w:hAnsi="Tahoma" w:cs="Tahoma"/>
                <w:b/>
                <w:bCs/>
                <w:sz w:val="16"/>
                <w:szCs w:val="16"/>
                <w:lang w:eastAsia="en-US"/>
              </w:rPr>
            </w:pPr>
            <w:r w:rsidRPr="00A129B3">
              <w:rPr>
                <w:rFonts w:ascii="Tahoma" w:hAnsi="Tahoma" w:cs="Tahoma"/>
                <w:b/>
                <w:bCs/>
                <w:sz w:val="16"/>
                <w:szCs w:val="16"/>
                <w:lang w:eastAsia="en-US"/>
              </w:rPr>
              <w:t>1.15   (1.31,  2021.gadā)</w:t>
            </w:r>
          </w:p>
        </w:tc>
        <w:tc>
          <w:tcPr>
            <w:tcW w:w="0" w:type="auto"/>
            <w:tcBorders>
              <w:top w:val="nil"/>
              <w:left w:val="nil"/>
              <w:bottom w:val="nil"/>
              <w:right w:val="nil"/>
            </w:tcBorders>
            <w:noWrap/>
            <w:tcMar>
              <w:top w:w="15" w:type="dxa"/>
              <w:left w:w="15" w:type="dxa"/>
              <w:bottom w:w="0" w:type="dxa"/>
              <w:right w:w="15" w:type="dxa"/>
            </w:tcMar>
            <w:vAlign w:val="bottom"/>
          </w:tcPr>
          <w:p w14:paraId="579EFE5E" w14:textId="77777777" w:rsidR="007133E8" w:rsidRPr="00A129B3" w:rsidRDefault="007133E8" w:rsidP="00A960CD">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09912F53" w14:textId="77777777" w:rsidR="007133E8" w:rsidRPr="00A129B3" w:rsidRDefault="007133E8" w:rsidP="00A960CD">
            <w:pPr>
              <w:pStyle w:val="Parasts1"/>
              <w:rPr>
                <w:rFonts w:ascii="Tahoma" w:eastAsia="Arial Unicode MS" w:hAnsi="Tahoma" w:cs="Tahoma"/>
                <w:sz w:val="18"/>
                <w:szCs w:val="18"/>
                <w:highlight w:val="yellow"/>
                <w:lang w:eastAsia="en-US"/>
              </w:rPr>
            </w:pPr>
          </w:p>
        </w:tc>
      </w:tr>
      <w:tr w:rsidR="007133E8" w:rsidRPr="00A129B3" w14:paraId="07AF15CF" w14:textId="77777777" w:rsidTr="00A960CD">
        <w:trPr>
          <w:cantSplit/>
          <w:trHeight w:val="265"/>
        </w:trPr>
        <w:tc>
          <w:tcPr>
            <w:tcW w:w="0" w:type="auto"/>
            <w:vMerge/>
            <w:tcBorders>
              <w:top w:val="nil"/>
              <w:left w:val="nil"/>
              <w:bottom w:val="nil"/>
              <w:right w:val="nil"/>
            </w:tcBorders>
            <w:vAlign w:val="center"/>
          </w:tcPr>
          <w:p w14:paraId="6FFBE93F"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2E300F7F"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eastAsia="Arial Unicode MS" w:hAnsi="Tahoma" w:cs="Tahoma"/>
                <w:sz w:val="16"/>
                <w:szCs w:val="16"/>
                <w:lang w:eastAsia="en-US"/>
              </w:rPr>
              <w:t xml:space="preserve">                270479</w:t>
            </w:r>
          </w:p>
        </w:tc>
        <w:tc>
          <w:tcPr>
            <w:tcW w:w="0" w:type="auto"/>
            <w:vMerge/>
            <w:tcBorders>
              <w:top w:val="nil"/>
              <w:left w:val="nil"/>
              <w:bottom w:val="nil"/>
              <w:right w:val="nil"/>
            </w:tcBorders>
            <w:tcMar>
              <w:top w:w="15" w:type="dxa"/>
              <w:left w:w="15" w:type="dxa"/>
              <w:bottom w:w="0" w:type="dxa"/>
              <w:right w:w="15" w:type="dxa"/>
            </w:tcMar>
            <w:vAlign w:val="center"/>
          </w:tcPr>
          <w:p w14:paraId="04CF4D7D"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vMerge/>
            <w:tcBorders>
              <w:top w:val="nil"/>
              <w:left w:val="nil"/>
              <w:bottom w:val="nil"/>
              <w:right w:val="nil"/>
            </w:tcBorders>
            <w:tcMar>
              <w:top w:w="15" w:type="dxa"/>
              <w:left w:w="15" w:type="dxa"/>
              <w:bottom w:w="0" w:type="dxa"/>
              <w:right w:w="15" w:type="dxa"/>
            </w:tcMar>
            <w:vAlign w:val="center"/>
          </w:tcPr>
          <w:p w14:paraId="1FDC596D"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vMerge/>
            <w:tcBorders>
              <w:top w:val="nil"/>
              <w:left w:val="nil"/>
              <w:bottom w:val="nil"/>
              <w:right w:val="nil"/>
            </w:tcBorders>
            <w:tcMar>
              <w:top w:w="15" w:type="dxa"/>
              <w:left w:w="15" w:type="dxa"/>
              <w:bottom w:w="0" w:type="dxa"/>
              <w:right w:w="15" w:type="dxa"/>
            </w:tcMar>
            <w:vAlign w:val="center"/>
          </w:tcPr>
          <w:p w14:paraId="635F7A18" w14:textId="77777777" w:rsidR="007133E8" w:rsidRPr="00A129B3" w:rsidRDefault="007133E8" w:rsidP="00A960CD">
            <w:pPr>
              <w:pStyle w:val="Parasts1"/>
              <w:rPr>
                <w:rFonts w:ascii="Tahoma" w:eastAsia="Arial Unicode MS" w:hAnsi="Tahoma" w:cs="Tahoma"/>
                <w:b/>
                <w:bCs/>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60DBE034" w14:textId="77777777" w:rsidR="007133E8" w:rsidRPr="00A129B3" w:rsidRDefault="007133E8" w:rsidP="00A960CD">
            <w:pPr>
              <w:pStyle w:val="Parasts1"/>
              <w:rPr>
                <w:rFonts w:ascii="Tahoma" w:eastAsia="Arial Unicode MS" w:hAnsi="Tahoma" w:cs="Tahoma"/>
                <w:b/>
                <w:bCs/>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6E3523E6" w14:textId="77777777" w:rsidR="007133E8" w:rsidRPr="00A129B3" w:rsidRDefault="007133E8" w:rsidP="00A960CD">
            <w:pPr>
              <w:pStyle w:val="Parasts1"/>
              <w:rPr>
                <w:rFonts w:ascii="Tahoma" w:eastAsia="Arial Unicode MS" w:hAnsi="Tahoma" w:cs="Tahoma"/>
                <w:sz w:val="18"/>
                <w:szCs w:val="18"/>
                <w:highlight w:val="yellow"/>
                <w:lang w:eastAsia="en-US"/>
              </w:rPr>
            </w:pPr>
          </w:p>
        </w:tc>
      </w:tr>
      <w:tr w:rsidR="007133E8" w:rsidRPr="00A129B3" w14:paraId="3E0622F9" w14:textId="77777777" w:rsidTr="00A960CD">
        <w:trPr>
          <w:trHeight w:val="253"/>
        </w:trPr>
        <w:tc>
          <w:tcPr>
            <w:tcW w:w="0" w:type="auto"/>
            <w:tcBorders>
              <w:top w:val="nil"/>
              <w:left w:val="nil"/>
              <w:bottom w:val="nil"/>
              <w:right w:val="nil"/>
            </w:tcBorders>
            <w:noWrap/>
            <w:tcMar>
              <w:top w:w="15" w:type="dxa"/>
              <w:left w:w="15" w:type="dxa"/>
              <w:bottom w:w="0" w:type="dxa"/>
              <w:right w:w="15" w:type="dxa"/>
            </w:tcMar>
            <w:vAlign w:val="bottom"/>
          </w:tcPr>
          <w:p w14:paraId="62E4655D"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6F117F58"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0D4F35A7"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32CA03B0"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0AFC3D60"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09CB3577" w14:textId="77777777" w:rsidR="007133E8" w:rsidRPr="00A129B3" w:rsidRDefault="007133E8" w:rsidP="00A960CD">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53CEC270" w14:textId="77777777" w:rsidR="007133E8" w:rsidRPr="00A129B3" w:rsidRDefault="007133E8" w:rsidP="00A960CD">
            <w:pPr>
              <w:pStyle w:val="Parasts1"/>
              <w:rPr>
                <w:rFonts w:ascii="Tahoma" w:eastAsia="Arial Unicode MS" w:hAnsi="Tahoma" w:cs="Tahoma"/>
                <w:sz w:val="18"/>
                <w:szCs w:val="18"/>
                <w:highlight w:val="yellow"/>
                <w:lang w:eastAsia="en-US"/>
              </w:rPr>
            </w:pPr>
          </w:p>
        </w:tc>
      </w:tr>
      <w:tr w:rsidR="007133E8" w:rsidRPr="00A129B3" w14:paraId="6DE3683A" w14:textId="77777777" w:rsidTr="00A960CD">
        <w:trPr>
          <w:cantSplit/>
          <w:trHeight w:val="253"/>
        </w:trPr>
        <w:tc>
          <w:tcPr>
            <w:tcW w:w="2471" w:type="dxa"/>
            <w:vMerge w:val="restart"/>
            <w:tcBorders>
              <w:top w:val="nil"/>
              <w:left w:val="nil"/>
              <w:bottom w:val="nil"/>
              <w:right w:val="nil"/>
            </w:tcBorders>
            <w:tcMar>
              <w:top w:w="15" w:type="dxa"/>
              <w:left w:w="15" w:type="dxa"/>
              <w:bottom w:w="0" w:type="dxa"/>
              <w:right w:w="15" w:type="dxa"/>
            </w:tcMar>
            <w:vAlign w:val="bottom"/>
          </w:tcPr>
          <w:p w14:paraId="0C786D99"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6"/>
                <w:szCs w:val="16"/>
                <w:lang w:eastAsia="en-US"/>
              </w:rPr>
              <w:t>Kopējais likviditātes koeficients=</w:t>
            </w:r>
          </w:p>
        </w:tc>
        <w:tc>
          <w:tcPr>
            <w:tcW w:w="0" w:type="auto"/>
            <w:tcBorders>
              <w:top w:val="nil"/>
              <w:left w:val="nil"/>
              <w:bottom w:val="single" w:sz="4" w:space="0" w:color="000000"/>
              <w:right w:val="nil"/>
            </w:tcBorders>
            <w:noWrap/>
            <w:tcMar>
              <w:top w:w="15" w:type="dxa"/>
              <w:left w:w="15" w:type="dxa"/>
              <w:bottom w:w="0" w:type="dxa"/>
              <w:right w:w="15" w:type="dxa"/>
            </w:tcMar>
            <w:vAlign w:val="bottom"/>
          </w:tcPr>
          <w:p w14:paraId="03113079"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eastAsia="Arial Unicode MS" w:hAnsi="Tahoma" w:cs="Tahoma"/>
                <w:sz w:val="16"/>
                <w:szCs w:val="16"/>
                <w:lang w:eastAsia="en-US"/>
              </w:rPr>
              <w:t xml:space="preserve">                       341000</w:t>
            </w:r>
          </w:p>
        </w:tc>
        <w:tc>
          <w:tcPr>
            <w:tcW w:w="0" w:type="auto"/>
            <w:vMerge w:val="restart"/>
            <w:tcBorders>
              <w:top w:val="nil"/>
              <w:left w:val="nil"/>
              <w:bottom w:val="nil"/>
              <w:right w:val="nil"/>
            </w:tcBorders>
            <w:noWrap/>
            <w:tcMar>
              <w:top w:w="15" w:type="dxa"/>
              <w:left w:w="15" w:type="dxa"/>
              <w:bottom w:w="0" w:type="dxa"/>
              <w:right w:w="15" w:type="dxa"/>
            </w:tcMar>
            <w:vAlign w:val="bottom"/>
          </w:tcPr>
          <w:p w14:paraId="457D33AD" w14:textId="77777777" w:rsidR="007133E8" w:rsidRPr="00A129B3" w:rsidRDefault="007133E8" w:rsidP="00A960CD">
            <w:pPr>
              <w:pStyle w:val="Parasts1"/>
              <w:rPr>
                <w:rFonts w:ascii="Tahoma" w:eastAsia="Arial Unicode MS" w:hAnsi="Tahoma" w:cs="Tahoma"/>
                <w:sz w:val="16"/>
                <w:szCs w:val="16"/>
                <w:lang w:eastAsia="en-US"/>
              </w:rPr>
            </w:pPr>
          </w:p>
        </w:tc>
        <w:tc>
          <w:tcPr>
            <w:tcW w:w="0" w:type="auto"/>
            <w:vMerge w:val="restart"/>
            <w:tcBorders>
              <w:top w:val="nil"/>
              <w:left w:val="nil"/>
              <w:bottom w:val="nil"/>
              <w:right w:val="nil"/>
            </w:tcBorders>
            <w:noWrap/>
            <w:tcMar>
              <w:top w:w="15" w:type="dxa"/>
              <w:left w:w="15" w:type="dxa"/>
              <w:bottom w:w="0" w:type="dxa"/>
              <w:right w:w="15" w:type="dxa"/>
            </w:tcMar>
            <w:vAlign w:val="bottom"/>
          </w:tcPr>
          <w:p w14:paraId="6F3443A5" w14:textId="77777777" w:rsidR="007133E8" w:rsidRPr="00A129B3" w:rsidRDefault="007133E8" w:rsidP="00A960CD">
            <w:pPr>
              <w:pStyle w:val="Parasts1"/>
              <w:jc w:val="center"/>
              <w:rPr>
                <w:rFonts w:ascii="Tahoma" w:eastAsia="Arial Unicode MS" w:hAnsi="Tahoma" w:cs="Tahoma"/>
                <w:sz w:val="16"/>
                <w:szCs w:val="16"/>
                <w:lang w:eastAsia="en-US"/>
              </w:rPr>
            </w:pPr>
            <w:r w:rsidRPr="00A129B3">
              <w:rPr>
                <w:rFonts w:ascii="Tahoma" w:hAnsi="Tahoma" w:cs="Tahoma"/>
                <w:sz w:val="16"/>
                <w:szCs w:val="16"/>
                <w:lang w:eastAsia="en-US"/>
              </w:rPr>
              <w:t>=</w:t>
            </w:r>
          </w:p>
        </w:tc>
        <w:tc>
          <w:tcPr>
            <w:tcW w:w="0" w:type="auto"/>
            <w:vMerge w:val="restart"/>
            <w:tcBorders>
              <w:top w:val="nil"/>
              <w:left w:val="nil"/>
              <w:bottom w:val="nil"/>
              <w:right w:val="nil"/>
            </w:tcBorders>
            <w:noWrap/>
            <w:tcMar>
              <w:top w:w="15" w:type="dxa"/>
              <w:left w:w="15" w:type="dxa"/>
              <w:bottom w:w="0" w:type="dxa"/>
              <w:right w:w="15" w:type="dxa"/>
            </w:tcMar>
            <w:vAlign w:val="bottom"/>
          </w:tcPr>
          <w:p w14:paraId="431412F1" w14:textId="77777777" w:rsidR="007133E8" w:rsidRPr="00A129B3" w:rsidRDefault="007133E8" w:rsidP="00A960CD">
            <w:pPr>
              <w:pStyle w:val="Parasts1"/>
              <w:rPr>
                <w:rFonts w:ascii="Tahoma" w:eastAsia="Arial Unicode MS" w:hAnsi="Tahoma" w:cs="Tahoma"/>
                <w:b/>
                <w:bCs/>
                <w:sz w:val="16"/>
                <w:szCs w:val="16"/>
                <w:lang w:eastAsia="en-US"/>
              </w:rPr>
            </w:pPr>
            <w:r w:rsidRPr="00A129B3">
              <w:rPr>
                <w:rFonts w:ascii="Tahoma" w:eastAsia="Arial Unicode MS" w:hAnsi="Tahoma" w:cs="Tahoma"/>
                <w:b/>
                <w:bCs/>
                <w:sz w:val="16"/>
                <w:szCs w:val="16"/>
                <w:lang w:eastAsia="en-US"/>
              </w:rPr>
              <w:t xml:space="preserve"> 1.26  (1.36,  2021.gadā)</w:t>
            </w:r>
          </w:p>
        </w:tc>
        <w:tc>
          <w:tcPr>
            <w:tcW w:w="0" w:type="auto"/>
            <w:tcBorders>
              <w:top w:val="nil"/>
              <w:left w:val="nil"/>
              <w:bottom w:val="nil"/>
              <w:right w:val="nil"/>
            </w:tcBorders>
            <w:noWrap/>
            <w:tcMar>
              <w:top w:w="15" w:type="dxa"/>
              <w:left w:w="15" w:type="dxa"/>
              <w:bottom w:w="0" w:type="dxa"/>
              <w:right w:w="15" w:type="dxa"/>
            </w:tcMar>
            <w:vAlign w:val="bottom"/>
          </w:tcPr>
          <w:p w14:paraId="74278715" w14:textId="77777777" w:rsidR="007133E8" w:rsidRPr="00A129B3" w:rsidRDefault="007133E8" w:rsidP="00A960CD">
            <w:pPr>
              <w:pStyle w:val="Parasts1"/>
              <w:rPr>
                <w:rFonts w:ascii="Tahoma" w:eastAsia="Arial Unicode MS" w:hAnsi="Tahoma" w:cs="Tahoma"/>
                <w:sz w:val="18"/>
                <w:szCs w:val="18"/>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2B76212C" w14:textId="77777777" w:rsidR="007133E8" w:rsidRPr="00A129B3" w:rsidRDefault="007133E8" w:rsidP="00A960CD">
            <w:pPr>
              <w:pStyle w:val="Parasts1"/>
              <w:rPr>
                <w:rFonts w:ascii="Tahoma" w:eastAsia="Arial Unicode MS" w:hAnsi="Tahoma" w:cs="Tahoma"/>
                <w:sz w:val="18"/>
                <w:szCs w:val="18"/>
                <w:highlight w:val="yellow"/>
                <w:lang w:eastAsia="en-US"/>
              </w:rPr>
            </w:pPr>
          </w:p>
        </w:tc>
      </w:tr>
      <w:tr w:rsidR="007133E8" w:rsidRPr="00A129B3" w14:paraId="03F983BF" w14:textId="77777777" w:rsidTr="00A960CD">
        <w:trPr>
          <w:cantSplit/>
          <w:trHeight w:val="253"/>
        </w:trPr>
        <w:tc>
          <w:tcPr>
            <w:tcW w:w="0" w:type="auto"/>
            <w:vMerge/>
            <w:tcBorders>
              <w:top w:val="nil"/>
              <w:left w:val="nil"/>
              <w:bottom w:val="nil"/>
              <w:right w:val="nil"/>
            </w:tcBorders>
            <w:vAlign w:val="center"/>
          </w:tcPr>
          <w:p w14:paraId="482271B4" w14:textId="77777777" w:rsidR="007133E8" w:rsidRPr="00A129B3" w:rsidRDefault="007133E8" w:rsidP="00A960CD">
            <w:pPr>
              <w:pStyle w:val="Parasts1"/>
              <w:rPr>
                <w:rFonts w:eastAsia="Arial Unicode M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6C70F150" w14:textId="77777777" w:rsidR="007133E8" w:rsidRPr="00A129B3" w:rsidRDefault="007133E8" w:rsidP="00A960CD">
            <w:pPr>
              <w:pStyle w:val="Parasts1"/>
              <w:rPr>
                <w:rFonts w:ascii="Tahoma" w:eastAsia="Arial Unicode MS" w:hAnsi="Tahoma" w:cs="Tahoma"/>
                <w:sz w:val="16"/>
                <w:szCs w:val="16"/>
                <w:lang w:eastAsia="en-US"/>
              </w:rPr>
            </w:pPr>
            <w:r w:rsidRPr="00A129B3">
              <w:rPr>
                <w:rFonts w:ascii="Tahoma" w:hAnsi="Tahoma" w:cs="Tahoma"/>
                <w:sz w:val="18"/>
                <w:szCs w:val="20"/>
                <w:lang w:eastAsia="en-US"/>
              </w:rPr>
              <w:t xml:space="preserve">                         </w:t>
            </w:r>
            <w:r w:rsidRPr="00A129B3">
              <w:rPr>
                <w:rFonts w:ascii="Tahoma" w:eastAsia="Arial Unicode MS" w:hAnsi="Tahoma" w:cs="Tahoma"/>
                <w:sz w:val="16"/>
                <w:szCs w:val="16"/>
                <w:lang w:eastAsia="en-US"/>
              </w:rPr>
              <w:t>270479</w:t>
            </w:r>
          </w:p>
        </w:tc>
        <w:tc>
          <w:tcPr>
            <w:tcW w:w="0" w:type="auto"/>
            <w:vMerge/>
            <w:tcBorders>
              <w:top w:val="nil"/>
              <w:left w:val="nil"/>
              <w:bottom w:val="nil"/>
              <w:right w:val="nil"/>
            </w:tcBorders>
            <w:tcMar>
              <w:top w:w="15" w:type="dxa"/>
              <w:left w:w="15" w:type="dxa"/>
              <w:bottom w:w="0" w:type="dxa"/>
              <w:right w:w="15" w:type="dxa"/>
            </w:tcMar>
            <w:vAlign w:val="center"/>
          </w:tcPr>
          <w:p w14:paraId="43E66B9F" w14:textId="77777777" w:rsidR="007133E8" w:rsidRPr="00A129B3" w:rsidRDefault="007133E8" w:rsidP="00A960CD">
            <w:pPr>
              <w:pStyle w:val="Parasts1"/>
              <w:rPr>
                <w:rFonts w:eastAsia="Arial Unicode MS"/>
                <w:sz w:val="18"/>
                <w:szCs w:val="20"/>
                <w:lang w:eastAsia="en-US"/>
              </w:rPr>
            </w:pPr>
          </w:p>
        </w:tc>
        <w:tc>
          <w:tcPr>
            <w:tcW w:w="0" w:type="auto"/>
            <w:vMerge/>
            <w:tcBorders>
              <w:top w:val="nil"/>
              <w:left w:val="nil"/>
              <w:bottom w:val="nil"/>
              <w:right w:val="nil"/>
            </w:tcBorders>
            <w:tcMar>
              <w:top w:w="15" w:type="dxa"/>
              <w:left w:w="15" w:type="dxa"/>
              <w:bottom w:w="0" w:type="dxa"/>
              <w:right w:w="15" w:type="dxa"/>
            </w:tcMar>
            <w:vAlign w:val="center"/>
          </w:tcPr>
          <w:p w14:paraId="79BB796A" w14:textId="77777777" w:rsidR="007133E8" w:rsidRPr="00A129B3" w:rsidRDefault="007133E8" w:rsidP="00A960CD">
            <w:pPr>
              <w:pStyle w:val="Parasts1"/>
              <w:rPr>
                <w:rFonts w:eastAsia="Arial Unicode MS"/>
                <w:sz w:val="18"/>
                <w:szCs w:val="20"/>
                <w:lang w:eastAsia="en-US"/>
              </w:rPr>
            </w:pPr>
          </w:p>
        </w:tc>
        <w:tc>
          <w:tcPr>
            <w:tcW w:w="0" w:type="auto"/>
            <w:vMerge/>
            <w:tcBorders>
              <w:top w:val="nil"/>
              <w:left w:val="nil"/>
              <w:bottom w:val="nil"/>
              <w:right w:val="nil"/>
            </w:tcBorders>
            <w:tcMar>
              <w:top w:w="15" w:type="dxa"/>
              <w:left w:w="15" w:type="dxa"/>
              <w:bottom w:w="0" w:type="dxa"/>
              <w:right w:w="15" w:type="dxa"/>
            </w:tcMar>
            <w:vAlign w:val="center"/>
          </w:tcPr>
          <w:p w14:paraId="282DE2BA" w14:textId="77777777" w:rsidR="007133E8" w:rsidRPr="00A129B3" w:rsidRDefault="007133E8" w:rsidP="00A960CD">
            <w:pPr>
              <w:pStyle w:val="Parasts1"/>
              <w:rPr>
                <w:rFonts w:eastAsia="Arial Unicode MS"/>
                <w:b/>
                <w:bC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035FBFEF" w14:textId="77777777" w:rsidR="007133E8" w:rsidRPr="00A129B3" w:rsidRDefault="007133E8" w:rsidP="00A960CD">
            <w:pPr>
              <w:pStyle w:val="Parasts1"/>
              <w:rPr>
                <w:rFonts w:eastAsia="Arial Unicode MS"/>
                <w:b/>
                <w:bCs/>
                <w:sz w:val="18"/>
                <w:szCs w:val="20"/>
                <w:lang w:eastAsia="en-US"/>
              </w:rPr>
            </w:pPr>
          </w:p>
        </w:tc>
        <w:tc>
          <w:tcPr>
            <w:tcW w:w="0" w:type="auto"/>
            <w:tcBorders>
              <w:top w:val="nil"/>
              <w:left w:val="nil"/>
              <w:bottom w:val="nil"/>
              <w:right w:val="nil"/>
            </w:tcBorders>
            <w:noWrap/>
            <w:tcMar>
              <w:top w:w="15" w:type="dxa"/>
              <w:left w:w="15" w:type="dxa"/>
              <w:bottom w:w="0" w:type="dxa"/>
              <w:right w:w="15" w:type="dxa"/>
            </w:tcMar>
            <w:vAlign w:val="bottom"/>
          </w:tcPr>
          <w:p w14:paraId="0B52D672" w14:textId="77777777" w:rsidR="007133E8" w:rsidRPr="00A129B3" w:rsidRDefault="007133E8" w:rsidP="00A960CD">
            <w:pPr>
              <w:pStyle w:val="Parasts1"/>
              <w:rPr>
                <w:rFonts w:eastAsia="Arial Unicode MS"/>
                <w:sz w:val="18"/>
                <w:szCs w:val="20"/>
                <w:highlight w:val="yellow"/>
                <w:lang w:eastAsia="en-US"/>
              </w:rPr>
            </w:pPr>
          </w:p>
        </w:tc>
      </w:tr>
    </w:tbl>
    <w:p w14:paraId="163FEFEF" w14:textId="77777777" w:rsidR="007133E8" w:rsidRPr="00A129B3" w:rsidRDefault="007133E8" w:rsidP="007133E8">
      <w:pPr>
        <w:pStyle w:val="Parasts1"/>
        <w:rPr>
          <w:rFonts w:ascii="Tahoma" w:hAnsi="Tahoma" w:cs="Tahoma"/>
          <w:sz w:val="18"/>
          <w:szCs w:val="18"/>
        </w:rPr>
      </w:pPr>
    </w:p>
    <w:p w14:paraId="2DE46A7C" w14:textId="77777777" w:rsidR="007133E8" w:rsidRPr="00A129B3" w:rsidRDefault="007133E8" w:rsidP="007133E8">
      <w:pPr>
        <w:pStyle w:val="Parasts1"/>
        <w:rPr>
          <w:rFonts w:ascii="Tahoma" w:hAnsi="Tahoma" w:cs="Tahoma"/>
          <w:sz w:val="18"/>
          <w:szCs w:val="18"/>
        </w:rPr>
      </w:pPr>
      <w:r w:rsidRPr="00A129B3">
        <w:rPr>
          <w:rFonts w:ascii="Tahoma" w:hAnsi="Tahoma" w:cs="Tahoma"/>
          <w:sz w:val="18"/>
          <w:szCs w:val="18"/>
        </w:rPr>
        <w:t>SIA „</w:t>
      </w:r>
      <w:proofErr w:type="spellStart"/>
      <w:r w:rsidRPr="00A129B3">
        <w:rPr>
          <w:rFonts w:ascii="Tahoma" w:hAnsi="Tahoma" w:cs="Tahoma"/>
          <w:sz w:val="18"/>
          <w:szCs w:val="18"/>
        </w:rPr>
        <w:t>Austrumlatvijas</w:t>
      </w:r>
      <w:proofErr w:type="spellEnd"/>
      <w:r w:rsidRPr="00A129B3">
        <w:rPr>
          <w:rFonts w:ascii="Tahoma" w:hAnsi="Tahoma" w:cs="Tahoma"/>
          <w:sz w:val="18"/>
          <w:szCs w:val="18"/>
        </w:rPr>
        <w:t xml:space="preserve"> koncertzāle” reģistrētais pamatkapitāls pārskata gada beigās ir 233 166 EUR.</w:t>
      </w:r>
    </w:p>
    <w:p w14:paraId="3EE47EAD" w14:textId="77777777" w:rsidR="00E53714" w:rsidRPr="00CE0B12" w:rsidRDefault="00E53714" w:rsidP="00E53714">
      <w:pPr>
        <w:pStyle w:val="Parasts1"/>
        <w:rPr>
          <w:rFonts w:ascii="Tahoma" w:hAnsi="Tahoma" w:cs="Tahoma"/>
          <w:color w:val="FF0000"/>
          <w:sz w:val="18"/>
          <w:szCs w:val="18"/>
        </w:rPr>
      </w:pPr>
    </w:p>
    <w:p w14:paraId="403C6B8F" w14:textId="77777777" w:rsidR="006D1859" w:rsidRPr="00CE0B12" w:rsidRDefault="006D1859" w:rsidP="002F36DE">
      <w:pPr>
        <w:pStyle w:val="Parasts1"/>
        <w:rPr>
          <w:rFonts w:ascii="Tahoma" w:hAnsi="Tahoma" w:cs="Tahoma"/>
          <w:b/>
          <w:color w:val="FF0000"/>
          <w:sz w:val="18"/>
          <w:szCs w:val="18"/>
        </w:rPr>
      </w:pPr>
      <w:bookmarkStart w:id="2" w:name="_Toc473130133"/>
      <w:r w:rsidRPr="00CE0B12">
        <w:rPr>
          <w:rFonts w:ascii="Tahoma" w:hAnsi="Tahoma" w:cs="Tahoma"/>
          <w:b/>
          <w:color w:val="FF0000"/>
          <w:sz w:val="22"/>
          <w:szCs w:val="22"/>
        </w:rPr>
        <w:t>Bilance</w:t>
      </w:r>
      <w:bookmarkEnd w:id="2"/>
    </w:p>
    <w:bookmarkStart w:id="3" w:name="_MON_1231335832"/>
    <w:bookmarkStart w:id="4" w:name="_MON_1238160353"/>
    <w:bookmarkStart w:id="5" w:name="_MON_1238161112"/>
    <w:bookmarkStart w:id="6" w:name="_MON_1238161732"/>
    <w:bookmarkStart w:id="7" w:name="_MON_1238285524"/>
    <w:bookmarkStart w:id="8" w:name="_MON_1238285894"/>
    <w:bookmarkStart w:id="9" w:name="_MON_1238286502"/>
    <w:bookmarkStart w:id="10" w:name="_MON_1238288512"/>
    <w:bookmarkStart w:id="11" w:name="_MON_1238288655"/>
    <w:bookmarkStart w:id="12" w:name="_MON_1238288708"/>
    <w:bookmarkStart w:id="13" w:name="_MON_1238404359"/>
    <w:bookmarkStart w:id="14" w:name="_MON_1238412157"/>
    <w:bookmarkStart w:id="15" w:name="_MON_1238412186"/>
    <w:bookmarkStart w:id="16" w:name="_MON_1238414452"/>
    <w:bookmarkStart w:id="17" w:name="_MON_1238442625"/>
    <w:bookmarkStart w:id="18" w:name="_MON_1238443660"/>
    <w:bookmarkStart w:id="19" w:name="_MON_1238493841"/>
    <w:bookmarkStart w:id="20" w:name="_MON_1238493899"/>
    <w:bookmarkStart w:id="21" w:name="_MON_1238497316"/>
    <w:bookmarkStart w:id="22" w:name="_MON_1238497378"/>
    <w:bookmarkStart w:id="23" w:name="_MON_1238497781"/>
    <w:bookmarkStart w:id="24" w:name="_MON_1238674995"/>
    <w:bookmarkStart w:id="25" w:name="_MON_1238690667"/>
    <w:bookmarkStart w:id="26" w:name="_MON_1238826629"/>
    <w:bookmarkStart w:id="27" w:name="_MON_1239005598"/>
    <w:bookmarkStart w:id="28" w:name="_MON_1239015546"/>
    <w:bookmarkStart w:id="29" w:name="_MON_1239015633"/>
    <w:bookmarkStart w:id="30" w:name="_MON_1239015694"/>
    <w:bookmarkStart w:id="31" w:name="_MON_1239015834"/>
    <w:bookmarkStart w:id="32" w:name="_MON_1239015896"/>
    <w:bookmarkStart w:id="33" w:name="_MON_1239018301"/>
    <w:bookmarkStart w:id="34" w:name="_MON_1266322868"/>
    <w:bookmarkStart w:id="35" w:name="_MON_1266323089"/>
    <w:bookmarkStart w:id="36" w:name="_MON_1266734863"/>
    <w:bookmarkStart w:id="37" w:name="_MON_1266837942"/>
    <w:bookmarkStart w:id="38" w:name="_MON_1268839905"/>
    <w:bookmarkStart w:id="39" w:name="_MON_1268839916"/>
    <w:bookmarkStart w:id="40" w:name="_MON_1269091559"/>
    <w:bookmarkStart w:id="41" w:name="_MON_1269256175"/>
    <w:bookmarkStart w:id="42" w:name="_MON_1269415214"/>
    <w:bookmarkStart w:id="43" w:name="_MON_1269431141"/>
    <w:bookmarkStart w:id="44" w:name="_MON_1269431297"/>
    <w:bookmarkStart w:id="45" w:name="_MON_1269434670"/>
    <w:bookmarkStart w:id="46" w:name="_MON_1269447967"/>
    <w:bookmarkStart w:id="47" w:name="_MON_1269521861"/>
    <w:bookmarkStart w:id="48" w:name="_MON_1298705277"/>
    <w:bookmarkStart w:id="49" w:name="_MON_1299067432"/>
    <w:bookmarkStart w:id="50" w:name="_MON_1299068228"/>
    <w:bookmarkStart w:id="51" w:name="_MON_1299073769"/>
    <w:bookmarkStart w:id="52" w:name="_MON_1299074271"/>
    <w:bookmarkStart w:id="53" w:name="_MON_1299074350"/>
    <w:bookmarkStart w:id="54" w:name="_MON_1299074576"/>
    <w:bookmarkStart w:id="55" w:name="_MON_1299076472"/>
    <w:bookmarkStart w:id="56" w:name="_MON_1299323808"/>
    <w:bookmarkStart w:id="57" w:name="_MON_1299324379"/>
    <w:bookmarkStart w:id="58" w:name="_MON_1299325616"/>
    <w:bookmarkStart w:id="59" w:name="_MON_1299325915"/>
    <w:bookmarkStart w:id="60" w:name="_MON_1299486229"/>
    <w:bookmarkStart w:id="61" w:name="_MON_1299566847"/>
    <w:bookmarkStart w:id="62" w:name="_MON_1301730112"/>
    <w:bookmarkStart w:id="63" w:name="_MON_1301806867"/>
    <w:bookmarkStart w:id="64" w:name="_MON_1329916954"/>
    <w:bookmarkStart w:id="65" w:name="_MON_1330177574"/>
    <w:bookmarkStart w:id="66" w:name="_MON_1330247824"/>
    <w:bookmarkStart w:id="67" w:name="_MON_1330248011"/>
    <w:bookmarkStart w:id="68" w:name="_MON_1330269594"/>
    <w:bookmarkStart w:id="69" w:name="_MON_1330320182"/>
    <w:bookmarkStart w:id="70" w:name="_MON_1330337784"/>
    <w:bookmarkStart w:id="71" w:name="_MON_1330346031"/>
    <w:bookmarkStart w:id="72" w:name="_MON_1330353823"/>
    <w:bookmarkStart w:id="73" w:name="_MON_1330354404"/>
    <w:bookmarkStart w:id="74" w:name="_MON_1330356802"/>
    <w:bookmarkStart w:id="75" w:name="_MON_1330409089"/>
    <w:bookmarkStart w:id="76" w:name="_MON_1330439905"/>
    <w:bookmarkStart w:id="77" w:name="_MON_1331470865"/>
    <w:bookmarkStart w:id="78" w:name="_MON_1331972559"/>
    <w:bookmarkStart w:id="79" w:name="_MON_1362909200"/>
    <w:bookmarkStart w:id="80" w:name="_MON_1364898130"/>
    <w:bookmarkStart w:id="81" w:name="_MON_1364992617"/>
    <w:bookmarkStart w:id="82" w:name="_MON_1365230962"/>
    <w:bookmarkStart w:id="83" w:name="_MON_1365249767"/>
    <w:bookmarkStart w:id="84" w:name="_MON_1365348123"/>
    <w:bookmarkStart w:id="85" w:name="_MON_1384085741"/>
    <w:bookmarkStart w:id="86" w:name="_MON_1396167286"/>
    <w:bookmarkStart w:id="87" w:name="_MON_1396253379"/>
    <w:bookmarkStart w:id="88" w:name="_MON_1396253475"/>
    <w:bookmarkStart w:id="89" w:name="_MON_1420464938"/>
    <w:bookmarkStart w:id="90" w:name="_MON_1428234142"/>
    <w:bookmarkStart w:id="91" w:name="_MON_1428234287"/>
    <w:bookmarkStart w:id="92" w:name="_MON_1428234292"/>
    <w:bookmarkStart w:id="93" w:name="_MON_1428236224"/>
    <w:bookmarkStart w:id="94" w:name="_MON_1428303249"/>
    <w:bookmarkStart w:id="95" w:name="_MON_1428306675"/>
    <w:bookmarkStart w:id="96" w:name="_MON_1428307322"/>
    <w:bookmarkStart w:id="97" w:name="_MON_1428312581"/>
    <w:bookmarkStart w:id="98" w:name="_MON_1428400343"/>
    <w:bookmarkStart w:id="99" w:name="_MON_1457155438"/>
    <w:bookmarkStart w:id="100" w:name="_MON_1457155706"/>
    <w:bookmarkStart w:id="101" w:name="_MON_1457155733"/>
    <w:bookmarkStart w:id="102" w:name="_MON_1457155750"/>
    <w:bookmarkStart w:id="103" w:name="_MON_1457155767"/>
    <w:bookmarkStart w:id="104" w:name="_MON_1457158527"/>
    <w:bookmarkStart w:id="105" w:name="_MON_1457158576"/>
    <w:bookmarkStart w:id="106" w:name="_MON_1457170576"/>
    <w:bookmarkStart w:id="107" w:name="_MON_1457172334"/>
    <w:bookmarkStart w:id="108" w:name="_MON_1473687551"/>
    <w:bookmarkStart w:id="109" w:name="_MON_1473687936"/>
    <w:bookmarkStart w:id="110" w:name="_MON_1473687955"/>
    <w:bookmarkStart w:id="111" w:name="_MON_1473687981"/>
    <w:bookmarkStart w:id="112" w:name="_MON_1475931078"/>
    <w:bookmarkStart w:id="113" w:name="_MON_1475931484"/>
    <w:bookmarkStart w:id="114" w:name="_MON_1475933768"/>
    <w:bookmarkStart w:id="115" w:name="_MON_1475933835"/>
    <w:bookmarkStart w:id="116" w:name="_MON_1475933842"/>
    <w:bookmarkStart w:id="117" w:name="_MON_1475933849"/>
    <w:bookmarkStart w:id="118" w:name="_MON_1475933865"/>
    <w:bookmarkStart w:id="119" w:name="_MON_1475933869"/>
    <w:bookmarkStart w:id="120" w:name="_MON_1475933879"/>
    <w:bookmarkStart w:id="121" w:name="_MON_1475933885"/>
    <w:bookmarkStart w:id="122" w:name="_MON_1475933892"/>
    <w:bookmarkStart w:id="123" w:name="_MON_1475933899"/>
    <w:bookmarkStart w:id="124" w:name="_MON_1475933909"/>
    <w:bookmarkStart w:id="125" w:name="_MON_1475933934"/>
    <w:bookmarkStart w:id="126" w:name="_MON_1475933960"/>
    <w:bookmarkStart w:id="127" w:name="_MON_1490624253"/>
    <w:bookmarkStart w:id="128" w:name="_MON_1491044225"/>
    <w:bookmarkStart w:id="129" w:name="_MON_1491045421"/>
    <w:bookmarkStart w:id="130" w:name="_MON_1491049944"/>
    <w:bookmarkStart w:id="131" w:name="_MON_1491050276"/>
    <w:bookmarkStart w:id="132" w:name="_MON_1491050758"/>
    <w:bookmarkStart w:id="133" w:name="_MON_1491051788"/>
    <w:bookmarkStart w:id="134" w:name="_MON_1491051832"/>
    <w:bookmarkStart w:id="135" w:name="_MON_1491143911"/>
    <w:bookmarkStart w:id="136" w:name="_MON_1110290742"/>
    <w:bookmarkStart w:id="137" w:name="_MON_1197983229"/>
    <w:bookmarkStart w:id="138" w:name="_MON_1197983453"/>
    <w:bookmarkStart w:id="139" w:name="_MON_1197984306"/>
    <w:bookmarkStart w:id="140" w:name="_MON_1197984335"/>
    <w:bookmarkStart w:id="141" w:name="_MON_1197984409"/>
    <w:bookmarkStart w:id="142" w:name="_MON_1220851168"/>
    <w:bookmarkStart w:id="143" w:name="_MON_1220851372"/>
    <w:bookmarkStart w:id="144" w:name="_MON_1222785281"/>
    <w:bookmarkStart w:id="145" w:name="_MON_1234082330"/>
    <w:bookmarkStart w:id="146" w:name="_MON_1231327194"/>
    <w:bookmarkStart w:id="147" w:name="_MON_1236435145"/>
    <w:bookmarkStart w:id="148" w:name="_MON_1236435392"/>
    <w:bookmarkStart w:id="149" w:name="_MON_1236522258"/>
    <w:bookmarkStart w:id="150" w:name="_MON_1236522650"/>
    <w:bookmarkStart w:id="151" w:name="_MON_1236522724"/>
    <w:bookmarkStart w:id="152" w:name="_MON_1238159094"/>
    <w:bookmarkStart w:id="153" w:name="_MON_1237803215"/>
    <w:bookmarkStart w:id="154" w:name="_MON_1237803375"/>
    <w:bookmarkStart w:id="155" w:name="_MON_1238443394"/>
    <w:bookmarkStart w:id="156" w:name="_MON_1237804482"/>
    <w:bookmarkStart w:id="157" w:name="_MON_1238518901"/>
    <w:bookmarkStart w:id="158" w:name="_MON_1237805951"/>
    <w:bookmarkStart w:id="159" w:name="_MON_1237974695"/>
    <w:bookmarkStart w:id="160" w:name="_MON_1237974772"/>
    <w:bookmarkStart w:id="161" w:name="_MON_1237974808"/>
    <w:bookmarkStart w:id="162" w:name="_MON_1237975453"/>
    <w:bookmarkStart w:id="163" w:name="_MON_133044280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Start w:id="164" w:name="_MON_1231335636"/>
    <w:bookmarkEnd w:id="164"/>
    <w:p w14:paraId="68F73459" w14:textId="72DCF6F8" w:rsidR="00EA48C6" w:rsidRPr="00CE0B12" w:rsidRDefault="007133E8" w:rsidP="005C551F">
      <w:pPr>
        <w:pStyle w:val="Parasts1"/>
        <w:tabs>
          <w:tab w:val="left" w:pos="6804"/>
        </w:tabs>
        <w:spacing w:line="276" w:lineRule="auto"/>
        <w:jc w:val="both"/>
        <w:outlineLvl w:val="0"/>
        <w:rPr>
          <w:color w:val="FF0000"/>
          <w:sz w:val="22"/>
          <w:szCs w:val="23"/>
        </w:rPr>
      </w:pPr>
      <w:r w:rsidRPr="00A129B3">
        <w:rPr>
          <w:rFonts w:ascii="Arial" w:hAnsi="Arial" w:cs="Arial"/>
          <w:sz w:val="16"/>
        </w:rPr>
        <w:object w:dxaOrig="10230" w:dyaOrig="6712" w14:anchorId="21952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81.25pt" o:ole="" fillcolor="window">
            <v:imagedata r:id="rId7" o:title=""/>
          </v:shape>
          <o:OLEObject Type="Embed" ProgID="Excel.Sheet.8" ShapeID="_x0000_i1025" DrawAspect="Content" ObjectID="_1741584950" r:id="rId8"/>
        </w:object>
      </w:r>
    </w:p>
    <w:p w14:paraId="6EA02DA5" w14:textId="1B476ECD" w:rsidR="007B45F5" w:rsidRPr="00CE0B12" w:rsidRDefault="007B45F5" w:rsidP="007B45F5">
      <w:pPr>
        <w:spacing w:before="120" w:after="120"/>
        <w:jc w:val="both"/>
        <w:rPr>
          <w:rFonts w:cs="Tahoma"/>
          <w:b/>
          <w:color w:val="FF0000"/>
          <w:szCs w:val="18"/>
          <w:u w:val="single"/>
        </w:rPr>
      </w:pPr>
      <w:bookmarkStart w:id="165" w:name="_Toc473130134"/>
    </w:p>
    <w:bookmarkStart w:id="166" w:name="_MON_1542090457"/>
    <w:bookmarkEnd w:id="166"/>
    <w:p w14:paraId="1985A3CC" w14:textId="5164F5F0" w:rsidR="007B45F5" w:rsidRPr="00CE0B12" w:rsidRDefault="007133E8" w:rsidP="004378F6">
      <w:pPr>
        <w:pStyle w:val="Heading1"/>
        <w:spacing w:before="0" w:after="0" w:line="240" w:lineRule="auto"/>
        <w:rPr>
          <w:rFonts w:ascii="Tahoma" w:hAnsi="Tahoma" w:cs="Tahoma"/>
          <w:color w:val="FF0000"/>
          <w:sz w:val="22"/>
          <w:szCs w:val="22"/>
        </w:rPr>
      </w:pPr>
      <w:r w:rsidRPr="00A129B3">
        <w:rPr>
          <w:rFonts w:ascii="Arial Narrow" w:hAnsi="Arial Narrow"/>
          <w:sz w:val="16"/>
        </w:rPr>
        <w:object w:dxaOrig="10230" w:dyaOrig="6209" w14:anchorId="5995582F">
          <v:shape id="_x0000_i1026" type="#_x0000_t75" style="width:453pt;height:268.5pt" o:ole="" fillcolor="window">
            <v:imagedata r:id="rId9" o:title=""/>
          </v:shape>
          <o:OLEObject Type="Embed" ProgID="Excel.Sheet.8" ShapeID="_x0000_i1026" DrawAspect="Content" ObjectID="_1741584951" r:id="rId10"/>
        </w:object>
      </w:r>
    </w:p>
    <w:p w14:paraId="36E998AF" w14:textId="77777777" w:rsidR="007B45F5" w:rsidRPr="00CE0B12" w:rsidRDefault="007B45F5" w:rsidP="007B45F5">
      <w:pPr>
        <w:rPr>
          <w:color w:val="FF0000"/>
          <w:lang w:eastAsia="lv-LV"/>
        </w:rPr>
      </w:pPr>
    </w:p>
    <w:p w14:paraId="3A9347AB" w14:textId="77777777" w:rsidR="004378F6" w:rsidRPr="00CE0B12" w:rsidRDefault="004378F6" w:rsidP="004378F6">
      <w:pPr>
        <w:pStyle w:val="Heading1"/>
        <w:spacing w:before="0" w:after="0" w:line="240" w:lineRule="auto"/>
        <w:rPr>
          <w:rFonts w:ascii="Tahoma" w:hAnsi="Tahoma" w:cs="Tahoma"/>
          <w:color w:val="FF0000"/>
          <w:sz w:val="22"/>
          <w:szCs w:val="22"/>
        </w:rPr>
      </w:pPr>
      <w:r w:rsidRPr="00CE0B12">
        <w:rPr>
          <w:rFonts w:ascii="Tahoma" w:hAnsi="Tahoma" w:cs="Tahoma"/>
          <w:color w:val="FF0000"/>
          <w:sz w:val="22"/>
          <w:szCs w:val="22"/>
        </w:rPr>
        <w:lastRenderedPageBreak/>
        <w:t>Peļņas vai zaudējumu aprēķins</w:t>
      </w:r>
      <w:bookmarkEnd w:id="165"/>
    </w:p>
    <w:p w14:paraId="0A5B987F" w14:textId="77777777" w:rsidR="001521A9" w:rsidRPr="00CE0B12" w:rsidRDefault="001521A9" w:rsidP="001521A9">
      <w:pPr>
        <w:rPr>
          <w:color w:val="FF0000"/>
          <w:lang w:eastAsia="lv-LV"/>
        </w:rPr>
      </w:pPr>
    </w:p>
    <w:bookmarkStart w:id="167" w:name="_MON_1517119909"/>
    <w:bookmarkEnd w:id="167"/>
    <w:p w14:paraId="76F5E8AB" w14:textId="04B8EB22" w:rsidR="001521A9" w:rsidRPr="00DE7731" w:rsidRDefault="00394E31" w:rsidP="00DE7731">
      <w:r w:rsidRPr="00A129B3">
        <w:object w:dxaOrig="9476" w:dyaOrig="5025" w14:anchorId="32AEA2CD">
          <v:shape id="_x0000_i1028" type="#_x0000_t75" style="width:459pt;height:279pt" o:ole="" fillcolor="window">
            <v:imagedata r:id="rId11" o:title=""/>
          </v:shape>
          <o:OLEObject Type="Embed" ProgID="Excel.Sheet.8" ShapeID="_x0000_i1028" DrawAspect="Content" ObjectID="_1741584952" r:id="rId12"/>
        </w:object>
      </w:r>
    </w:p>
    <w:tbl>
      <w:tblPr>
        <w:tblpPr w:leftFromText="180" w:rightFromText="180" w:vertAnchor="text" w:horzAnchor="margin" w:tblpY="76"/>
        <w:tblW w:w="9503" w:type="dxa"/>
        <w:tblLayout w:type="fixed"/>
        <w:tblLook w:val="04A0" w:firstRow="1" w:lastRow="0" w:firstColumn="1" w:lastColumn="0" w:noHBand="0" w:noVBand="1"/>
      </w:tblPr>
      <w:tblGrid>
        <w:gridCol w:w="9503"/>
      </w:tblGrid>
      <w:tr w:rsidR="00CE0B12" w:rsidRPr="00CE0B12" w14:paraId="273064DE" w14:textId="77777777" w:rsidTr="005C551F">
        <w:trPr>
          <w:trHeight w:val="362"/>
        </w:trPr>
        <w:tc>
          <w:tcPr>
            <w:tcW w:w="9503" w:type="dxa"/>
            <w:tcBorders>
              <w:top w:val="nil"/>
              <w:left w:val="nil"/>
              <w:right w:val="nil"/>
            </w:tcBorders>
            <w:shd w:val="clear" w:color="auto" w:fill="auto"/>
            <w:noWrap/>
            <w:vAlign w:val="bottom"/>
            <w:hideMark/>
          </w:tcPr>
          <w:p w14:paraId="37865219" w14:textId="77777777" w:rsidR="005C551F" w:rsidRPr="00CE0B12" w:rsidRDefault="005C551F" w:rsidP="005C551F">
            <w:pPr>
              <w:spacing w:after="0" w:line="240" w:lineRule="auto"/>
              <w:rPr>
                <w:rFonts w:ascii="Arial Narrow" w:eastAsia="Times New Roman" w:hAnsi="Arial Narrow" w:cs="Calibri"/>
                <w:b/>
                <w:bCs/>
                <w:color w:val="FF0000"/>
                <w:sz w:val="32"/>
                <w:szCs w:val="32"/>
                <w:lang w:eastAsia="lv-LV"/>
              </w:rPr>
            </w:pPr>
          </w:p>
          <w:p w14:paraId="7BFFE2EC" w14:textId="77777777" w:rsidR="001521A9" w:rsidRPr="00CE0B12" w:rsidRDefault="001521A9" w:rsidP="005C551F">
            <w:pPr>
              <w:spacing w:after="0" w:line="240" w:lineRule="auto"/>
              <w:rPr>
                <w:rFonts w:ascii="Arial Narrow" w:eastAsia="Times New Roman" w:hAnsi="Arial Narrow" w:cs="Calibri"/>
                <w:b/>
                <w:bCs/>
                <w:color w:val="FF0000"/>
                <w:sz w:val="32"/>
                <w:szCs w:val="32"/>
                <w:lang w:eastAsia="lv-LV"/>
              </w:rPr>
            </w:pPr>
          </w:p>
          <w:p w14:paraId="3AB19B46" w14:textId="77777777" w:rsidR="009E40F0" w:rsidRPr="00CE0B12" w:rsidRDefault="009E40F0" w:rsidP="005C551F">
            <w:pPr>
              <w:spacing w:after="0" w:line="240" w:lineRule="auto"/>
              <w:rPr>
                <w:rFonts w:ascii="Arial Narrow" w:eastAsia="Times New Roman" w:hAnsi="Arial Narrow" w:cs="Calibri"/>
                <w:b/>
                <w:bCs/>
                <w:color w:val="FF0000"/>
                <w:sz w:val="32"/>
                <w:szCs w:val="32"/>
                <w:lang w:eastAsia="lv-LV"/>
              </w:rPr>
            </w:pPr>
          </w:p>
          <w:p w14:paraId="22B17A56" w14:textId="77777777" w:rsidR="001521A9" w:rsidRPr="00CE0B12" w:rsidRDefault="001521A9" w:rsidP="005C551F">
            <w:pPr>
              <w:spacing w:after="0" w:line="240" w:lineRule="auto"/>
              <w:rPr>
                <w:rFonts w:ascii="Arial Narrow" w:eastAsia="Times New Roman" w:hAnsi="Arial Narrow" w:cs="Calibri"/>
                <w:b/>
                <w:bCs/>
                <w:color w:val="FF0000"/>
                <w:sz w:val="32"/>
                <w:szCs w:val="32"/>
                <w:lang w:eastAsia="lv-LV"/>
              </w:rPr>
            </w:pPr>
          </w:p>
          <w:p w14:paraId="3708494C" w14:textId="77777777" w:rsidR="005C551F" w:rsidRPr="00CE0B12" w:rsidRDefault="005C551F" w:rsidP="005C551F">
            <w:pPr>
              <w:spacing w:after="0" w:line="240" w:lineRule="auto"/>
              <w:rPr>
                <w:rFonts w:ascii="Calibri" w:eastAsia="Times New Roman" w:hAnsi="Calibri" w:cs="Calibri"/>
                <w:b/>
                <w:bCs/>
                <w:color w:val="FF0000"/>
                <w:sz w:val="28"/>
                <w:szCs w:val="28"/>
                <w:lang w:eastAsia="lv-LV"/>
              </w:rPr>
            </w:pPr>
            <w:r w:rsidRPr="00CE0B12">
              <w:rPr>
                <w:rFonts w:ascii="Arial Narrow" w:eastAsia="Times New Roman" w:hAnsi="Arial Narrow" w:cs="Calibri"/>
                <w:b/>
                <w:bCs/>
                <w:color w:val="FF0000"/>
                <w:sz w:val="32"/>
                <w:szCs w:val="32"/>
                <w:lang w:eastAsia="lv-LV"/>
              </w:rPr>
              <w:t xml:space="preserve">Naudas plūsmas pārskats (NPP)  </w:t>
            </w:r>
            <w:r w:rsidRPr="00CE0B12">
              <w:rPr>
                <w:rFonts w:ascii="Calibri" w:eastAsia="Times New Roman" w:hAnsi="Calibri" w:cs="Calibri"/>
                <w:b/>
                <w:bCs/>
                <w:color w:val="FF0000"/>
                <w:sz w:val="28"/>
                <w:szCs w:val="28"/>
                <w:lang w:eastAsia="lv-LV"/>
              </w:rPr>
              <w:t xml:space="preserve">(NPP pēc tiešās metodes) </w:t>
            </w:r>
          </w:p>
          <w:p w14:paraId="0501316D" w14:textId="77777777" w:rsidR="009E40F0" w:rsidRPr="00CE0B12" w:rsidRDefault="009E40F0" w:rsidP="005C551F">
            <w:pPr>
              <w:spacing w:after="0" w:line="240" w:lineRule="auto"/>
              <w:rPr>
                <w:rFonts w:ascii="Calibri" w:eastAsia="Times New Roman" w:hAnsi="Calibri" w:cs="Calibri"/>
                <w:b/>
                <w:bCs/>
                <w:color w:val="FF0000"/>
                <w:sz w:val="28"/>
                <w:szCs w:val="28"/>
                <w:lang w:eastAsia="lv-LV"/>
              </w:rPr>
            </w:pPr>
          </w:p>
          <w:bookmarkStart w:id="168" w:name="_MON_1707224203"/>
          <w:bookmarkEnd w:id="168"/>
          <w:p w14:paraId="53F0B5A3" w14:textId="74F3F361" w:rsidR="005C551F" w:rsidRPr="00CE0B12" w:rsidRDefault="00394E31" w:rsidP="005C551F">
            <w:pPr>
              <w:spacing w:after="0" w:line="240" w:lineRule="auto"/>
              <w:rPr>
                <w:rFonts w:ascii="Calibri" w:eastAsia="Times New Roman" w:hAnsi="Calibri" w:cs="Calibri"/>
                <w:b/>
                <w:bCs/>
                <w:color w:val="FF0000"/>
                <w:sz w:val="28"/>
                <w:szCs w:val="28"/>
                <w:lang w:eastAsia="lv-LV"/>
              </w:rPr>
            </w:pPr>
            <w:r>
              <w:rPr>
                <w:rFonts w:cs="Tahoma"/>
                <w:szCs w:val="18"/>
              </w:rPr>
              <w:object w:dxaOrig="9730" w:dyaOrig="5929" w14:anchorId="2C6A1324">
                <v:shape id="_x0000_i1029" type="#_x0000_t75" style="width:462pt;height:282pt" o:ole="">
                  <v:imagedata r:id="rId13" o:title=""/>
                </v:shape>
                <o:OLEObject Type="Embed" ProgID="Excel.Sheet.12" ShapeID="_x0000_i1029" DrawAspect="Content" ObjectID="_1741584953" r:id="rId14"/>
              </w:object>
            </w:r>
            <w:bookmarkStart w:id="169" w:name="_GoBack"/>
            <w:bookmarkEnd w:id="169"/>
          </w:p>
          <w:p w14:paraId="5474FD90" w14:textId="5A5CF1B5" w:rsidR="005C551F" w:rsidRPr="00CE0B12" w:rsidRDefault="005C551F" w:rsidP="005C551F">
            <w:pPr>
              <w:spacing w:after="0" w:line="240" w:lineRule="auto"/>
              <w:rPr>
                <w:rFonts w:ascii="Arial Narrow" w:eastAsia="Times New Roman" w:hAnsi="Arial Narrow" w:cs="Calibri"/>
                <w:b/>
                <w:bCs/>
                <w:color w:val="FF0000"/>
                <w:sz w:val="32"/>
                <w:szCs w:val="32"/>
                <w:lang w:eastAsia="lv-LV"/>
              </w:rPr>
            </w:pPr>
          </w:p>
        </w:tc>
      </w:tr>
      <w:tr w:rsidR="00CE0B12" w:rsidRPr="00CE0B12" w14:paraId="1D739766" w14:textId="77777777" w:rsidTr="005C551F">
        <w:trPr>
          <w:trHeight w:val="994"/>
        </w:trPr>
        <w:tc>
          <w:tcPr>
            <w:tcW w:w="9503" w:type="dxa"/>
            <w:tcBorders>
              <w:left w:val="nil"/>
              <w:bottom w:val="nil"/>
              <w:right w:val="nil"/>
            </w:tcBorders>
            <w:shd w:val="clear" w:color="auto" w:fill="auto"/>
            <w:noWrap/>
            <w:vAlign w:val="center"/>
            <w:hideMark/>
          </w:tcPr>
          <w:p w14:paraId="0D9804B0" w14:textId="77777777" w:rsidR="001521A9" w:rsidRPr="00CE0B12" w:rsidRDefault="001521A9" w:rsidP="005C551F">
            <w:pPr>
              <w:spacing w:after="0" w:line="240" w:lineRule="auto"/>
              <w:rPr>
                <w:rFonts w:ascii="Arial Narrow" w:eastAsia="Times New Roman" w:hAnsi="Arial Narrow" w:cs="Calibri"/>
                <w:b/>
                <w:bCs/>
                <w:color w:val="FF0000"/>
                <w:sz w:val="32"/>
                <w:szCs w:val="32"/>
                <w:lang w:eastAsia="lv-LV"/>
              </w:rPr>
            </w:pPr>
          </w:p>
          <w:p w14:paraId="6F361B10" w14:textId="77777777" w:rsidR="005C551F" w:rsidRPr="00CE0B12" w:rsidRDefault="005C551F" w:rsidP="005C551F">
            <w:pPr>
              <w:spacing w:after="0" w:line="240" w:lineRule="auto"/>
              <w:rPr>
                <w:rFonts w:ascii="Arial Narrow" w:eastAsia="Times New Roman" w:hAnsi="Arial Narrow" w:cs="Calibri"/>
                <w:b/>
                <w:bCs/>
                <w:color w:val="FF0000"/>
                <w:sz w:val="32"/>
                <w:szCs w:val="32"/>
                <w:lang w:eastAsia="lv-LV"/>
              </w:rPr>
            </w:pPr>
            <w:r w:rsidRPr="00CE0B12">
              <w:rPr>
                <w:rFonts w:ascii="Arial Narrow" w:eastAsia="Times New Roman" w:hAnsi="Arial Narrow" w:cs="Calibri"/>
                <w:b/>
                <w:bCs/>
                <w:color w:val="FF0000"/>
                <w:sz w:val="32"/>
                <w:szCs w:val="32"/>
                <w:lang w:eastAsia="lv-LV"/>
              </w:rPr>
              <w:t>Pašu kapitāla izmaiņu pārskats (PKIP)</w:t>
            </w:r>
          </w:p>
          <w:p w14:paraId="09B91BFE" w14:textId="77777777" w:rsidR="005C551F" w:rsidRPr="00CE0B12" w:rsidRDefault="005C551F" w:rsidP="005C551F">
            <w:pPr>
              <w:spacing w:after="0" w:line="240" w:lineRule="auto"/>
              <w:rPr>
                <w:rFonts w:ascii="Arial Narrow" w:eastAsia="Times New Roman" w:hAnsi="Arial Narrow" w:cs="Calibri"/>
                <w:b/>
                <w:bCs/>
                <w:color w:val="FF0000"/>
                <w:sz w:val="32"/>
                <w:szCs w:val="32"/>
                <w:lang w:eastAsia="lv-LV"/>
              </w:rPr>
            </w:pPr>
          </w:p>
        </w:tc>
      </w:tr>
    </w:tbl>
    <w:p w14:paraId="489DBA18" w14:textId="77777777" w:rsidR="005C551F" w:rsidRPr="00CE0B12" w:rsidRDefault="005C551F" w:rsidP="005C551F">
      <w:pPr>
        <w:rPr>
          <w:rFonts w:ascii="Tahoma" w:hAnsi="Tahoma" w:cs="Tahoma"/>
          <w:color w:val="FF0000"/>
          <w:sz w:val="24"/>
        </w:rPr>
      </w:pPr>
      <w:r w:rsidRPr="00CE0B12">
        <w:rPr>
          <w:rFonts w:cs="Tahoma"/>
          <w:color w:val="FF0000"/>
        </w:rPr>
        <w:t xml:space="preserve"> </w:t>
      </w:r>
      <w:r w:rsidR="004378F6" w:rsidRPr="00CE0B12">
        <w:rPr>
          <w:rFonts w:cs="Tahoma"/>
          <w:color w:val="FF0000"/>
        </w:rPr>
        <w:t>(pēc izdevumu veidiem)</w:t>
      </w:r>
      <w:r w:rsidR="002F36DE" w:rsidRPr="00CE0B12">
        <w:rPr>
          <w:rFonts w:ascii="Tahoma" w:hAnsi="Tahoma" w:cs="Tahoma"/>
          <w:color w:val="FF0000"/>
          <w:sz w:val="24"/>
        </w:rPr>
        <w:t xml:space="preserve"> </w:t>
      </w:r>
    </w:p>
    <w:bookmarkStart w:id="170" w:name="_MON_1593433936"/>
    <w:bookmarkEnd w:id="170"/>
    <w:p w14:paraId="03F54E65" w14:textId="3EC4D78F" w:rsidR="009E40F0" w:rsidRPr="00CE0B12" w:rsidRDefault="007133E8" w:rsidP="005C551F">
      <w:pPr>
        <w:rPr>
          <w:rFonts w:ascii="Tahoma" w:hAnsi="Tahoma" w:cs="Tahoma"/>
          <w:color w:val="FF0000"/>
          <w:sz w:val="24"/>
        </w:rPr>
      </w:pPr>
      <w:r>
        <w:object w:dxaOrig="9615" w:dyaOrig="4234" w14:anchorId="0F72B635">
          <v:shape id="_x0000_i1027" type="#_x0000_t75" style="width:462.75pt;height:204pt" o:ole="">
            <v:imagedata r:id="rId15" o:title=""/>
          </v:shape>
          <o:OLEObject Type="Embed" ProgID="Excel.Sheet.12" ShapeID="_x0000_i1027" DrawAspect="Content" ObjectID="_1741584954" r:id="rId16"/>
        </w:object>
      </w:r>
    </w:p>
    <w:p w14:paraId="2007F2E7" w14:textId="2CC92ECF" w:rsidR="005C551F" w:rsidRPr="00CE0B12" w:rsidRDefault="005C551F" w:rsidP="005C551F">
      <w:pPr>
        <w:rPr>
          <w:rFonts w:ascii="Tahoma" w:hAnsi="Tahoma" w:cs="Tahoma"/>
          <w:color w:val="FF0000"/>
          <w:sz w:val="24"/>
        </w:rPr>
      </w:pPr>
    </w:p>
    <w:p w14:paraId="2F22108B" w14:textId="7E1FFF0C" w:rsidR="00B63556" w:rsidRPr="00CE0B12" w:rsidRDefault="00B63556" w:rsidP="005C551F">
      <w:pPr>
        <w:ind w:left="567"/>
        <w:rPr>
          <w:rFonts w:cs="Tahoma"/>
          <w:b/>
          <w:color w:val="FF0000"/>
          <w:szCs w:val="18"/>
          <w:u w:val="single"/>
        </w:rPr>
      </w:pPr>
    </w:p>
    <w:p w14:paraId="48E1684E" w14:textId="77777777" w:rsidR="00CD0DCE" w:rsidRPr="00CE0B12" w:rsidRDefault="00CD0DCE" w:rsidP="00CD0DCE">
      <w:pPr>
        <w:spacing w:before="120" w:after="120"/>
        <w:jc w:val="both"/>
        <w:rPr>
          <w:rFonts w:cs="Tahoma"/>
          <w:b/>
          <w:color w:val="FF0000"/>
          <w:szCs w:val="18"/>
          <w:u w:val="single"/>
        </w:rPr>
      </w:pPr>
      <w:r w:rsidRPr="00CE0B12">
        <w:rPr>
          <w:rFonts w:cs="Tahoma"/>
          <w:b/>
          <w:color w:val="FF0000"/>
          <w:szCs w:val="18"/>
          <w:u w:val="single"/>
        </w:rPr>
        <w:t>TURPMĀKĀ ATTĪSTĪBA</w:t>
      </w:r>
    </w:p>
    <w:p w14:paraId="3E4B82EF" w14:textId="77777777" w:rsidR="007133E8" w:rsidRPr="00A129B3" w:rsidRDefault="007133E8" w:rsidP="007133E8">
      <w:pPr>
        <w:pStyle w:val="Parasts1"/>
        <w:spacing w:line="276" w:lineRule="auto"/>
        <w:ind w:firstLine="720"/>
        <w:jc w:val="both"/>
        <w:rPr>
          <w:rFonts w:ascii="Tahoma" w:hAnsi="Tahoma" w:cs="Tahoma"/>
          <w:sz w:val="18"/>
          <w:szCs w:val="18"/>
        </w:rPr>
      </w:pPr>
      <w:r w:rsidRPr="00A129B3">
        <w:rPr>
          <w:rFonts w:ascii="Tahoma" w:hAnsi="Tahoma" w:cs="Tahoma"/>
          <w:sz w:val="18"/>
          <w:szCs w:val="18"/>
        </w:rPr>
        <w:t>2023.gada uzdevums ir turpināt  SIA „</w:t>
      </w:r>
      <w:proofErr w:type="spellStart"/>
      <w:r w:rsidRPr="00A129B3">
        <w:rPr>
          <w:rFonts w:ascii="Tahoma" w:hAnsi="Tahoma" w:cs="Tahoma"/>
          <w:sz w:val="18"/>
          <w:szCs w:val="18"/>
        </w:rPr>
        <w:t>Austrumlatvijas</w:t>
      </w:r>
      <w:proofErr w:type="spellEnd"/>
      <w:r w:rsidRPr="00A129B3">
        <w:rPr>
          <w:rFonts w:ascii="Tahoma" w:hAnsi="Tahoma" w:cs="Tahoma"/>
          <w:sz w:val="18"/>
          <w:szCs w:val="18"/>
        </w:rPr>
        <w:t xml:space="preserve"> koncertzāle” darbību, ņemot vērā attīstības stratēģiju, funkciju deleģēšanas līgumu un valsts kultūrpolitikas plānošanas dokumentus. </w:t>
      </w:r>
    </w:p>
    <w:p w14:paraId="71EAF093" w14:textId="77777777" w:rsidR="007133E8" w:rsidRPr="00A129B3" w:rsidRDefault="007133E8" w:rsidP="007133E8">
      <w:pPr>
        <w:pStyle w:val="Parasts1"/>
        <w:spacing w:line="276" w:lineRule="auto"/>
        <w:ind w:firstLine="720"/>
        <w:jc w:val="both"/>
        <w:rPr>
          <w:rFonts w:ascii="Tahoma" w:hAnsi="Tahoma" w:cs="Tahoma"/>
          <w:sz w:val="18"/>
          <w:szCs w:val="18"/>
        </w:rPr>
      </w:pPr>
      <w:r w:rsidRPr="00A129B3">
        <w:rPr>
          <w:rFonts w:ascii="Tahoma" w:hAnsi="Tahoma" w:cs="Tahoma"/>
          <w:sz w:val="18"/>
          <w:szCs w:val="18"/>
        </w:rPr>
        <w:t>Tajā pašā laikā uzņēmums ir pakļauts vīrusu izplatības, ģeopolitiskajiem un finanšu nestabilitātes riskiem, neskaidrībai par situācijas stabilizēšanos un pašlaik grūti prognozējamiem komunālo maksājumu izdevumiem. Būtiska ietekme ir arī minimālās darba samaksas izmaiņām, kas attiecīgi ietekmē arī atalgojuma izdevumu apjomu uzņēmumā. Ne mazāk svarīga ir pašvaldības-dibinātāja finansiālā kapacitāte un ar to saistītais pašvaldības dotācijas apmērs deleģēto funkciju izpildei.</w:t>
      </w:r>
    </w:p>
    <w:p w14:paraId="5D1C2ADE" w14:textId="77777777" w:rsidR="007133E8" w:rsidRPr="00A129B3" w:rsidRDefault="007133E8" w:rsidP="007133E8">
      <w:pPr>
        <w:pStyle w:val="Parasts1"/>
        <w:spacing w:line="276" w:lineRule="auto"/>
        <w:ind w:firstLine="720"/>
        <w:jc w:val="both"/>
        <w:rPr>
          <w:rFonts w:ascii="Tahoma" w:hAnsi="Tahoma" w:cs="Tahoma"/>
          <w:sz w:val="18"/>
          <w:szCs w:val="18"/>
        </w:rPr>
      </w:pPr>
      <w:r w:rsidRPr="00A129B3">
        <w:rPr>
          <w:rFonts w:ascii="Tahoma" w:hAnsi="Tahoma" w:cs="Tahoma"/>
          <w:sz w:val="18"/>
          <w:szCs w:val="18"/>
        </w:rPr>
        <w:t>2023.gada izaicinājumi ir:</w:t>
      </w:r>
    </w:p>
    <w:p w14:paraId="1CA55D0B" w14:textId="77777777" w:rsidR="007133E8" w:rsidRPr="00A129B3" w:rsidRDefault="007133E8" w:rsidP="007133E8">
      <w:pPr>
        <w:pStyle w:val="Parasts1"/>
        <w:spacing w:line="276" w:lineRule="auto"/>
        <w:ind w:firstLine="720"/>
        <w:jc w:val="both"/>
        <w:rPr>
          <w:rFonts w:ascii="Tahoma" w:hAnsi="Tahoma" w:cs="Tahoma"/>
          <w:sz w:val="18"/>
          <w:szCs w:val="18"/>
        </w:rPr>
      </w:pPr>
      <w:r w:rsidRPr="00A129B3">
        <w:rPr>
          <w:rFonts w:ascii="Tahoma" w:hAnsi="Tahoma" w:cs="Tahoma"/>
          <w:sz w:val="18"/>
          <w:szCs w:val="18"/>
        </w:rPr>
        <w:t>1. Uzņēmuma finanšu stabilitātes nodrošināšana, ņemot vērā izdevumu pieaugumu, kā arī secīgu pašvaldības dotācijas samazināšanos pašvaldības ierobežotā budžeta apstākļos.</w:t>
      </w:r>
    </w:p>
    <w:p w14:paraId="0EEF3309" w14:textId="77777777" w:rsidR="007133E8" w:rsidRPr="00A129B3" w:rsidRDefault="007133E8" w:rsidP="007133E8">
      <w:pPr>
        <w:pStyle w:val="Parasts1"/>
        <w:spacing w:line="276" w:lineRule="auto"/>
        <w:ind w:firstLine="709"/>
        <w:jc w:val="both"/>
        <w:rPr>
          <w:rFonts w:ascii="Tahoma" w:hAnsi="Tahoma" w:cs="Tahoma"/>
          <w:sz w:val="18"/>
          <w:szCs w:val="18"/>
        </w:rPr>
      </w:pPr>
      <w:r w:rsidRPr="00A129B3">
        <w:rPr>
          <w:rFonts w:ascii="Tahoma" w:hAnsi="Tahoma" w:cs="Tahoma"/>
          <w:sz w:val="18"/>
          <w:szCs w:val="18"/>
        </w:rPr>
        <w:t>2. Profesionālu darbinieku saglabāšana un piesaiste.</w:t>
      </w:r>
    </w:p>
    <w:p w14:paraId="0985910D" w14:textId="77777777" w:rsidR="007133E8" w:rsidRPr="00A129B3" w:rsidRDefault="007133E8" w:rsidP="007133E8">
      <w:pPr>
        <w:pStyle w:val="Parasts1"/>
        <w:spacing w:line="276" w:lineRule="auto"/>
        <w:ind w:left="709" w:firstLine="11"/>
        <w:jc w:val="both"/>
        <w:rPr>
          <w:rFonts w:ascii="Tahoma" w:hAnsi="Tahoma" w:cs="Tahoma"/>
          <w:sz w:val="18"/>
          <w:szCs w:val="18"/>
        </w:rPr>
      </w:pPr>
      <w:r w:rsidRPr="00A129B3">
        <w:rPr>
          <w:rFonts w:ascii="Tahoma" w:hAnsi="Tahoma" w:cs="Tahoma"/>
          <w:sz w:val="18"/>
          <w:szCs w:val="18"/>
        </w:rPr>
        <w:t>3. Operatīva savstarpēji integrētu pakalpojumu attīstīšana.</w:t>
      </w:r>
    </w:p>
    <w:p w14:paraId="641A5CB6" w14:textId="77777777" w:rsidR="007133E8" w:rsidRPr="00A129B3" w:rsidRDefault="007133E8" w:rsidP="007133E8">
      <w:pPr>
        <w:pStyle w:val="Parasts1"/>
        <w:spacing w:line="276" w:lineRule="auto"/>
        <w:ind w:firstLine="720"/>
        <w:jc w:val="both"/>
        <w:rPr>
          <w:rFonts w:ascii="Tahoma" w:hAnsi="Tahoma" w:cs="Tahoma"/>
          <w:sz w:val="18"/>
          <w:szCs w:val="18"/>
        </w:rPr>
      </w:pPr>
      <w:r w:rsidRPr="00A129B3">
        <w:rPr>
          <w:rFonts w:ascii="Tahoma" w:hAnsi="Tahoma" w:cs="Tahoma"/>
          <w:sz w:val="18"/>
          <w:szCs w:val="18"/>
        </w:rPr>
        <w:t>4. Sadarbība ar Kultūras ministriju, citām valsts institūcijām nolūkā sekmēt profesionālās mākslas pieejamību reģionā.</w:t>
      </w:r>
    </w:p>
    <w:p w14:paraId="6263ACC6" w14:textId="77777777" w:rsidR="007133E8" w:rsidRPr="00A129B3" w:rsidRDefault="007133E8" w:rsidP="007133E8">
      <w:pPr>
        <w:pStyle w:val="Parasts1"/>
        <w:spacing w:line="276" w:lineRule="auto"/>
        <w:ind w:left="709" w:firstLine="11"/>
        <w:jc w:val="both"/>
        <w:rPr>
          <w:rFonts w:ascii="Tahoma" w:hAnsi="Tahoma" w:cs="Tahoma"/>
          <w:sz w:val="18"/>
          <w:szCs w:val="18"/>
        </w:rPr>
      </w:pPr>
      <w:r w:rsidRPr="00A129B3">
        <w:rPr>
          <w:rFonts w:ascii="Tahoma" w:hAnsi="Tahoma" w:cs="Tahoma"/>
          <w:sz w:val="18"/>
          <w:szCs w:val="18"/>
        </w:rPr>
        <w:t>5. Apmeklētāju plūsmas atjaunošana, ņemot vērā pilnīgu publisku klātienes pasākumu liegumu.</w:t>
      </w:r>
    </w:p>
    <w:p w14:paraId="24E80F08" w14:textId="77777777" w:rsidR="007133E8" w:rsidRPr="00A129B3" w:rsidRDefault="007133E8" w:rsidP="007133E8">
      <w:pPr>
        <w:pStyle w:val="Parasts1"/>
        <w:spacing w:line="276" w:lineRule="auto"/>
        <w:ind w:left="709" w:firstLine="11"/>
        <w:jc w:val="both"/>
        <w:rPr>
          <w:rFonts w:ascii="Tahoma" w:hAnsi="Tahoma" w:cs="Tahoma"/>
          <w:sz w:val="18"/>
          <w:szCs w:val="18"/>
        </w:rPr>
      </w:pPr>
      <w:r w:rsidRPr="00A129B3">
        <w:rPr>
          <w:rFonts w:ascii="Tahoma" w:hAnsi="Tahoma" w:cs="Tahoma"/>
          <w:sz w:val="18"/>
          <w:szCs w:val="18"/>
        </w:rPr>
        <w:t>6. Uzņēmuma materiāltehniskās bāzes un infrastruktūras saglabāšana un atjaunošana.</w:t>
      </w:r>
    </w:p>
    <w:p w14:paraId="75957D58" w14:textId="77777777" w:rsidR="007133E8" w:rsidRPr="00A129B3" w:rsidRDefault="007133E8" w:rsidP="007133E8">
      <w:pPr>
        <w:pStyle w:val="Parasts1"/>
        <w:spacing w:line="276" w:lineRule="auto"/>
        <w:ind w:firstLine="284"/>
        <w:jc w:val="both"/>
        <w:rPr>
          <w:rFonts w:ascii="Tahoma" w:hAnsi="Tahoma" w:cs="Tahoma"/>
          <w:sz w:val="18"/>
          <w:szCs w:val="18"/>
        </w:rPr>
      </w:pPr>
    </w:p>
    <w:p w14:paraId="02F69833" w14:textId="77777777" w:rsidR="007133E8" w:rsidRPr="00A129B3" w:rsidRDefault="007133E8" w:rsidP="007133E8">
      <w:pPr>
        <w:pStyle w:val="Parasts1"/>
        <w:spacing w:line="276" w:lineRule="auto"/>
        <w:ind w:left="720" w:hanging="11"/>
        <w:jc w:val="both"/>
        <w:rPr>
          <w:rFonts w:ascii="Tahoma" w:hAnsi="Tahoma" w:cs="Tahoma"/>
          <w:sz w:val="18"/>
          <w:szCs w:val="18"/>
        </w:rPr>
      </w:pPr>
      <w:r w:rsidRPr="00A129B3">
        <w:rPr>
          <w:rFonts w:ascii="Tahoma" w:hAnsi="Tahoma" w:cs="Tahoma"/>
          <w:sz w:val="18"/>
          <w:szCs w:val="18"/>
        </w:rPr>
        <w:t>Plānots, ka 2023.gadā uzņēmuma ieņēmumus galvenokārt veidos:</w:t>
      </w:r>
    </w:p>
    <w:p w14:paraId="4939A07D" w14:textId="77777777" w:rsidR="007133E8" w:rsidRPr="00A129B3" w:rsidRDefault="007133E8" w:rsidP="007133E8">
      <w:pPr>
        <w:pStyle w:val="Parasts1"/>
        <w:tabs>
          <w:tab w:val="left" w:pos="993"/>
          <w:tab w:val="left" w:pos="2410"/>
        </w:tabs>
        <w:spacing w:line="276" w:lineRule="auto"/>
        <w:ind w:left="142" w:firstLine="567"/>
        <w:rPr>
          <w:rFonts w:ascii="Tahoma" w:hAnsi="Tahoma" w:cs="Tahoma"/>
          <w:sz w:val="18"/>
          <w:szCs w:val="18"/>
        </w:rPr>
      </w:pPr>
      <w:r w:rsidRPr="00A129B3">
        <w:rPr>
          <w:rFonts w:ascii="Tahoma" w:hAnsi="Tahoma" w:cs="Tahoma"/>
          <w:sz w:val="18"/>
          <w:szCs w:val="18"/>
        </w:rPr>
        <w:t>1.</w:t>
      </w:r>
      <w:r w:rsidRPr="00A129B3">
        <w:rPr>
          <w:rFonts w:ascii="Tahoma" w:hAnsi="Tahoma" w:cs="Tahoma"/>
          <w:sz w:val="18"/>
          <w:szCs w:val="18"/>
        </w:rPr>
        <w:tab/>
        <w:t xml:space="preserve">Ieņēmumi no telpu nomas (telpu noma organizācijām, telpu noma pasākumiem). </w:t>
      </w:r>
    </w:p>
    <w:p w14:paraId="42CEAB96" w14:textId="77777777" w:rsidR="007133E8" w:rsidRPr="00A129B3" w:rsidRDefault="007133E8" w:rsidP="007133E8">
      <w:pPr>
        <w:pStyle w:val="Parasts1"/>
        <w:tabs>
          <w:tab w:val="left" w:pos="993"/>
          <w:tab w:val="left" w:pos="2410"/>
        </w:tabs>
        <w:spacing w:line="276" w:lineRule="auto"/>
        <w:ind w:left="709"/>
        <w:jc w:val="both"/>
        <w:rPr>
          <w:rFonts w:ascii="Tahoma" w:hAnsi="Tahoma" w:cs="Tahoma"/>
          <w:sz w:val="18"/>
          <w:szCs w:val="18"/>
        </w:rPr>
      </w:pPr>
      <w:r w:rsidRPr="00A129B3">
        <w:rPr>
          <w:rFonts w:ascii="Tahoma" w:hAnsi="Tahoma" w:cs="Tahoma"/>
          <w:sz w:val="18"/>
          <w:szCs w:val="18"/>
        </w:rPr>
        <w:t>2.</w:t>
      </w:r>
      <w:r w:rsidRPr="00A129B3">
        <w:rPr>
          <w:rFonts w:ascii="Tahoma" w:hAnsi="Tahoma" w:cs="Tahoma"/>
          <w:sz w:val="18"/>
          <w:szCs w:val="18"/>
        </w:rPr>
        <w:tab/>
        <w:t>Ieņēmumi no pasākumu rīkošanas (biļešu, producēšanas ieņēmumi, ieņēmumi no semināru un konferenču rīkošanas u.c. aktivitātēm. Pieaugs ieņēmumi no kino seansu izrādīšanas).</w:t>
      </w:r>
    </w:p>
    <w:p w14:paraId="0D99719C" w14:textId="77777777" w:rsidR="007133E8" w:rsidRPr="00A129B3" w:rsidRDefault="007133E8" w:rsidP="007133E8">
      <w:pPr>
        <w:pStyle w:val="Parasts1"/>
        <w:tabs>
          <w:tab w:val="left" w:pos="993"/>
          <w:tab w:val="left" w:pos="2410"/>
        </w:tabs>
        <w:spacing w:line="276" w:lineRule="auto"/>
        <w:ind w:left="709"/>
        <w:jc w:val="both"/>
        <w:rPr>
          <w:rFonts w:ascii="Tahoma" w:hAnsi="Tahoma" w:cs="Tahoma"/>
          <w:sz w:val="18"/>
          <w:szCs w:val="18"/>
        </w:rPr>
      </w:pPr>
      <w:r w:rsidRPr="00A129B3">
        <w:rPr>
          <w:rFonts w:ascii="Tahoma" w:hAnsi="Tahoma" w:cs="Tahoma"/>
          <w:sz w:val="18"/>
          <w:szCs w:val="18"/>
        </w:rPr>
        <w:t>3. Ieņēmumi no citiem pakalpojumiem.</w:t>
      </w:r>
    </w:p>
    <w:p w14:paraId="52A83886" w14:textId="77777777" w:rsidR="007133E8" w:rsidRPr="00A129B3" w:rsidRDefault="007133E8" w:rsidP="007133E8">
      <w:pPr>
        <w:pStyle w:val="Parasts1"/>
        <w:tabs>
          <w:tab w:val="left" w:pos="993"/>
          <w:tab w:val="left" w:pos="2410"/>
        </w:tabs>
        <w:spacing w:line="276" w:lineRule="auto"/>
        <w:ind w:left="709"/>
        <w:jc w:val="both"/>
        <w:rPr>
          <w:rFonts w:ascii="Tahoma" w:hAnsi="Tahoma" w:cs="Tahoma"/>
          <w:sz w:val="18"/>
          <w:szCs w:val="18"/>
        </w:rPr>
      </w:pPr>
      <w:r w:rsidRPr="00A129B3">
        <w:rPr>
          <w:rFonts w:ascii="Tahoma" w:hAnsi="Tahoma" w:cs="Tahoma"/>
          <w:sz w:val="18"/>
          <w:szCs w:val="18"/>
        </w:rPr>
        <w:t>4. Pašvaldības piešķirtie līdzekļi deleģēto funkciju izpildei.</w:t>
      </w:r>
    </w:p>
    <w:p w14:paraId="1A8D5821" w14:textId="77777777" w:rsidR="007133E8" w:rsidRPr="00A129B3" w:rsidRDefault="007133E8" w:rsidP="007133E8">
      <w:pPr>
        <w:pStyle w:val="Parasts1"/>
        <w:tabs>
          <w:tab w:val="left" w:pos="993"/>
          <w:tab w:val="left" w:pos="2410"/>
        </w:tabs>
        <w:spacing w:line="276" w:lineRule="auto"/>
        <w:ind w:left="709"/>
        <w:jc w:val="both"/>
        <w:rPr>
          <w:rFonts w:ascii="Tahoma" w:hAnsi="Tahoma" w:cs="Tahoma"/>
          <w:sz w:val="18"/>
          <w:szCs w:val="18"/>
        </w:rPr>
      </w:pPr>
      <w:r w:rsidRPr="00A129B3">
        <w:rPr>
          <w:rFonts w:ascii="Tahoma" w:hAnsi="Tahoma" w:cs="Tahoma"/>
          <w:sz w:val="18"/>
          <w:szCs w:val="18"/>
        </w:rPr>
        <w:t>5. Projektu konkursos piesaistītie līdzekļi.</w:t>
      </w:r>
    </w:p>
    <w:p w14:paraId="0C5CA615" w14:textId="77777777" w:rsidR="00DF2244" w:rsidRDefault="00DF2244" w:rsidP="008A3133">
      <w:pPr>
        <w:pStyle w:val="Parasts1"/>
        <w:spacing w:line="276" w:lineRule="auto"/>
        <w:jc w:val="both"/>
        <w:rPr>
          <w:rFonts w:ascii="Tahoma" w:hAnsi="Tahoma" w:cs="Tahoma"/>
          <w:sz w:val="16"/>
          <w:szCs w:val="16"/>
        </w:rPr>
      </w:pPr>
    </w:p>
    <w:p w14:paraId="595C242E" w14:textId="77777777" w:rsidR="00B42FB6" w:rsidRPr="00DF2244" w:rsidRDefault="00B42FB6" w:rsidP="00B42FB6">
      <w:pPr>
        <w:pStyle w:val="Parasts1"/>
        <w:spacing w:line="276" w:lineRule="auto"/>
        <w:jc w:val="both"/>
        <w:rPr>
          <w:rFonts w:ascii="Tahoma" w:hAnsi="Tahoma" w:cs="Tahoma"/>
          <w:sz w:val="16"/>
          <w:szCs w:val="16"/>
        </w:rPr>
      </w:pPr>
      <w:r w:rsidRPr="00DF2244">
        <w:rPr>
          <w:rFonts w:ascii="Tahoma" w:hAnsi="Tahoma" w:cs="Tahoma"/>
          <w:sz w:val="16"/>
          <w:szCs w:val="16"/>
        </w:rPr>
        <w:t>SIA „</w:t>
      </w:r>
      <w:proofErr w:type="spellStart"/>
      <w:r w:rsidRPr="00DF2244">
        <w:rPr>
          <w:rFonts w:ascii="Tahoma" w:hAnsi="Tahoma" w:cs="Tahoma"/>
          <w:sz w:val="16"/>
          <w:szCs w:val="16"/>
        </w:rPr>
        <w:t>Austrumlatvijas</w:t>
      </w:r>
      <w:proofErr w:type="spellEnd"/>
      <w:r w:rsidRPr="00DF2244">
        <w:rPr>
          <w:rFonts w:ascii="Tahoma" w:hAnsi="Tahoma" w:cs="Tahoma"/>
          <w:sz w:val="16"/>
          <w:szCs w:val="16"/>
        </w:rPr>
        <w:t xml:space="preserve"> koncertzāle” valdes </w:t>
      </w:r>
      <w:r w:rsidR="0017193E" w:rsidRPr="00DF2244">
        <w:rPr>
          <w:rFonts w:ascii="Tahoma" w:hAnsi="Tahoma" w:cs="Tahoma"/>
          <w:sz w:val="16"/>
          <w:szCs w:val="16"/>
        </w:rPr>
        <w:t>locekle</w:t>
      </w:r>
      <w:r w:rsidR="0017193E" w:rsidRPr="00DF2244">
        <w:rPr>
          <w:rFonts w:ascii="Tahoma" w:hAnsi="Tahoma" w:cs="Tahoma"/>
          <w:sz w:val="16"/>
          <w:szCs w:val="16"/>
        </w:rPr>
        <w:tab/>
      </w:r>
      <w:r w:rsidR="00DF2244">
        <w:rPr>
          <w:rFonts w:ascii="Tahoma" w:hAnsi="Tahoma" w:cs="Tahoma"/>
          <w:sz w:val="16"/>
          <w:szCs w:val="16"/>
        </w:rPr>
        <w:tab/>
      </w:r>
      <w:r w:rsidR="00DF2244">
        <w:rPr>
          <w:rFonts w:ascii="Tahoma" w:hAnsi="Tahoma" w:cs="Tahoma"/>
          <w:sz w:val="16"/>
          <w:szCs w:val="16"/>
        </w:rPr>
        <w:tab/>
      </w:r>
      <w:r w:rsidR="0017193E" w:rsidRPr="00DF2244">
        <w:rPr>
          <w:rFonts w:ascii="Tahoma" w:hAnsi="Tahoma" w:cs="Tahoma"/>
          <w:sz w:val="16"/>
          <w:szCs w:val="16"/>
        </w:rPr>
        <w:tab/>
      </w:r>
      <w:r w:rsidR="0017193E" w:rsidRPr="00DF2244">
        <w:rPr>
          <w:rFonts w:ascii="Tahoma" w:hAnsi="Tahoma" w:cs="Tahoma"/>
          <w:sz w:val="16"/>
          <w:szCs w:val="16"/>
        </w:rPr>
        <w:tab/>
      </w:r>
      <w:proofErr w:type="spellStart"/>
      <w:r w:rsidR="0017193E" w:rsidRPr="00DF2244">
        <w:rPr>
          <w:rFonts w:ascii="Tahoma" w:hAnsi="Tahoma" w:cs="Tahoma"/>
          <w:sz w:val="16"/>
          <w:szCs w:val="16"/>
        </w:rPr>
        <w:t>D.</w:t>
      </w:r>
      <w:r w:rsidRPr="00DF2244">
        <w:rPr>
          <w:rFonts w:ascii="Tahoma" w:hAnsi="Tahoma" w:cs="Tahoma"/>
          <w:sz w:val="16"/>
          <w:szCs w:val="16"/>
        </w:rPr>
        <w:t>Zirniņa</w:t>
      </w:r>
      <w:proofErr w:type="spellEnd"/>
    </w:p>
    <w:p w14:paraId="3EE4ED86" w14:textId="77777777" w:rsidR="00DF2244" w:rsidRDefault="00DF2244" w:rsidP="0017193E">
      <w:pPr>
        <w:pStyle w:val="Paraststmeklis1"/>
        <w:spacing w:before="0" w:beforeAutospacing="0" w:after="0" w:afterAutospacing="0"/>
        <w:jc w:val="both"/>
        <w:rPr>
          <w:rFonts w:ascii="Tahoma" w:hAnsi="Tahoma" w:cs="Tahoma"/>
          <w:sz w:val="16"/>
          <w:szCs w:val="16"/>
        </w:rPr>
      </w:pPr>
    </w:p>
    <w:p w14:paraId="6F790E56" w14:textId="77777777" w:rsidR="0017193E" w:rsidRPr="00DF2244" w:rsidRDefault="0017193E" w:rsidP="0017193E">
      <w:pPr>
        <w:pStyle w:val="Paraststmeklis1"/>
        <w:spacing w:before="0" w:beforeAutospacing="0" w:after="0" w:afterAutospacing="0"/>
        <w:jc w:val="both"/>
        <w:rPr>
          <w:rFonts w:ascii="Tahoma" w:hAnsi="Tahoma" w:cs="Tahoma"/>
          <w:sz w:val="16"/>
          <w:szCs w:val="16"/>
        </w:rPr>
      </w:pPr>
      <w:r w:rsidRPr="00DF2244">
        <w:rPr>
          <w:rFonts w:ascii="Tahoma" w:hAnsi="Tahoma" w:cs="Tahoma"/>
          <w:sz w:val="16"/>
          <w:szCs w:val="16"/>
        </w:rPr>
        <w:t>SIA „</w:t>
      </w:r>
      <w:proofErr w:type="spellStart"/>
      <w:r w:rsidRPr="00DF2244">
        <w:rPr>
          <w:rFonts w:ascii="Tahoma" w:hAnsi="Tahoma" w:cs="Tahoma"/>
          <w:sz w:val="16"/>
          <w:szCs w:val="16"/>
        </w:rPr>
        <w:t>Austrumlatvijas</w:t>
      </w:r>
      <w:proofErr w:type="spellEnd"/>
      <w:r w:rsidRPr="00DF2244">
        <w:rPr>
          <w:rFonts w:ascii="Tahoma" w:hAnsi="Tahoma" w:cs="Tahoma"/>
          <w:sz w:val="16"/>
          <w:szCs w:val="16"/>
        </w:rPr>
        <w:t xml:space="preserve"> koncertzāle”</w:t>
      </w:r>
    </w:p>
    <w:p w14:paraId="1227DF39" w14:textId="77777777" w:rsidR="0017193E" w:rsidRPr="00DF2244" w:rsidRDefault="00E23A5D" w:rsidP="0017193E">
      <w:pPr>
        <w:pStyle w:val="Parasts1"/>
        <w:spacing w:line="276" w:lineRule="auto"/>
        <w:jc w:val="both"/>
        <w:rPr>
          <w:rFonts w:ascii="Tahoma" w:hAnsi="Tahoma" w:cs="Tahoma"/>
          <w:sz w:val="16"/>
          <w:szCs w:val="16"/>
        </w:rPr>
      </w:pPr>
      <w:r w:rsidRPr="00DF2244">
        <w:rPr>
          <w:rFonts w:ascii="Tahoma" w:hAnsi="Tahoma" w:cs="Tahoma"/>
          <w:sz w:val="16"/>
          <w:szCs w:val="16"/>
        </w:rPr>
        <w:t>g</w:t>
      </w:r>
      <w:r w:rsidR="0017193E" w:rsidRPr="00DF2244">
        <w:rPr>
          <w:rFonts w:ascii="Tahoma" w:hAnsi="Tahoma" w:cs="Tahoma"/>
          <w:sz w:val="16"/>
          <w:szCs w:val="16"/>
        </w:rPr>
        <w:t>rāmatvedības nodaļas vadītāja:</w:t>
      </w:r>
      <w:r w:rsidR="0017193E" w:rsidRPr="00DF2244">
        <w:rPr>
          <w:rFonts w:ascii="Tahoma" w:hAnsi="Tahoma" w:cs="Tahoma"/>
          <w:sz w:val="16"/>
          <w:szCs w:val="16"/>
        </w:rPr>
        <w:tab/>
      </w:r>
      <w:r w:rsidR="0017193E" w:rsidRPr="00DF2244">
        <w:rPr>
          <w:rFonts w:ascii="Tahoma" w:hAnsi="Tahoma" w:cs="Tahoma"/>
          <w:sz w:val="16"/>
          <w:szCs w:val="16"/>
        </w:rPr>
        <w:tab/>
      </w:r>
      <w:r w:rsidR="0017193E" w:rsidRPr="00DF2244">
        <w:rPr>
          <w:rFonts w:ascii="Tahoma" w:hAnsi="Tahoma" w:cs="Tahoma"/>
          <w:sz w:val="16"/>
          <w:szCs w:val="16"/>
        </w:rPr>
        <w:tab/>
      </w:r>
      <w:r w:rsidR="0017193E" w:rsidRPr="00DF2244">
        <w:rPr>
          <w:rFonts w:ascii="Tahoma" w:hAnsi="Tahoma" w:cs="Tahoma"/>
          <w:sz w:val="16"/>
          <w:szCs w:val="16"/>
        </w:rPr>
        <w:tab/>
      </w:r>
      <w:r w:rsidR="0017193E" w:rsidRPr="00DF2244">
        <w:rPr>
          <w:rFonts w:ascii="Tahoma" w:hAnsi="Tahoma" w:cs="Tahoma"/>
          <w:sz w:val="16"/>
          <w:szCs w:val="16"/>
        </w:rPr>
        <w:tab/>
      </w:r>
      <w:r w:rsidR="0017193E" w:rsidRPr="00DF2244">
        <w:rPr>
          <w:rFonts w:ascii="Tahoma" w:hAnsi="Tahoma" w:cs="Tahoma"/>
          <w:sz w:val="16"/>
          <w:szCs w:val="16"/>
        </w:rPr>
        <w:tab/>
      </w:r>
      <w:proofErr w:type="spellStart"/>
      <w:r w:rsidR="0017193E" w:rsidRPr="00DF2244">
        <w:rPr>
          <w:rFonts w:ascii="Tahoma" w:hAnsi="Tahoma" w:cs="Tahoma"/>
          <w:sz w:val="16"/>
          <w:szCs w:val="16"/>
        </w:rPr>
        <w:t>M.Šmaukstele</w:t>
      </w:r>
      <w:proofErr w:type="spellEnd"/>
    </w:p>
    <w:p w14:paraId="1EAB496D" w14:textId="77777777" w:rsidR="00DF2244" w:rsidRDefault="00DF2244" w:rsidP="00DF2244">
      <w:pPr>
        <w:pStyle w:val="Parasts1"/>
        <w:spacing w:line="276" w:lineRule="auto"/>
        <w:jc w:val="both"/>
        <w:rPr>
          <w:rFonts w:ascii="Tahoma" w:hAnsi="Tahoma" w:cs="Tahoma"/>
          <w:sz w:val="16"/>
          <w:szCs w:val="16"/>
        </w:rPr>
      </w:pPr>
    </w:p>
    <w:p w14:paraId="2C2CAB86" w14:textId="211593B5" w:rsidR="00B42FB6" w:rsidRPr="00DF2244" w:rsidRDefault="009E40F0" w:rsidP="00DF2244">
      <w:pPr>
        <w:pStyle w:val="Parasts1"/>
        <w:spacing w:line="276" w:lineRule="auto"/>
        <w:jc w:val="both"/>
        <w:rPr>
          <w:rFonts w:ascii="Tahoma" w:hAnsi="Tahoma" w:cs="Tahoma"/>
          <w:b/>
          <w:sz w:val="16"/>
          <w:szCs w:val="16"/>
        </w:rPr>
      </w:pPr>
      <w:r>
        <w:rPr>
          <w:rFonts w:ascii="Tahoma" w:hAnsi="Tahoma" w:cs="Tahoma"/>
          <w:sz w:val="16"/>
          <w:szCs w:val="16"/>
        </w:rPr>
        <w:t>31</w:t>
      </w:r>
      <w:r w:rsidR="00AA6328">
        <w:rPr>
          <w:rFonts w:ascii="Tahoma" w:hAnsi="Tahoma" w:cs="Tahoma"/>
          <w:sz w:val="16"/>
          <w:szCs w:val="16"/>
        </w:rPr>
        <w:t>.05.202</w:t>
      </w:r>
      <w:r w:rsidR="00CE0B12">
        <w:rPr>
          <w:rFonts w:ascii="Tahoma" w:hAnsi="Tahoma" w:cs="Tahoma"/>
          <w:sz w:val="16"/>
          <w:szCs w:val="16"/>
        </w:rPr>
        <w:t>3</w:t>
      </w:r>
      <w:r w:rsidR="00B42FB6" w:rsidRPr="00DF2244">
        <w:rPr>
          <w:rFonts w:ascii="Tahoma" w:hAnsi="Tahoma" w:cs="Tahoma"/>
          <w:sz w:val="16"/>
          <w:szCs w:val="16"/>
        </w:rPr>
        <w:t>.</w:t>
      </w:r>
      <w:r w:rsidR="00DF2244" w:rsidRPr="00DF2244">
        <w:rPr>
          <w:rFonts w:ascii="Tahoma" w:hAnsi="Tahoma" w:cs="Tahoma"/>
          <w:b/>
          <w:sz w:val="16"/>
          <w:szCs w:val="16"/>
        </w:rPr>
        <w:t xml:space="preserve"> </w:t>
      </w:r>
    </w:p>
    <w:sectPr w:rsidR="00B42FB6" w:rsidRPr="00DF2244" w:rsidSect="00E15702">
      <w:pgSz w:w="11906" w:h="16838"/>
      <w:pgMar w:top="851"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enturyOldst TL">
    <w:altName w:val="Cambria Math"/>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288C"/>
    <w:multiLevelType w:val="multilevel"/>
    <w:tmpl w:val="B4B075F2"/>
    <w:lvl w:ilvl="0">
      <w:start w:val="1"/>
      <w:numFmt w:val="decimal"/>
      <w:pStyle w:val="Galva"/>
      <w:lvlText w:val="%1."/>
      <w:lvlJc w:val="left"/>
      <w:pPr>
        <w:tabs>
          <w:tab w:val="num" w:pos="465"/>
        </w:tabs>
        <w:ind w:left="465" w:hanging="465"/>
      </w:pPr>
      <w:rPr>
        <w:rFonts w:hint="default"/>
      </w:rPr>
    </w:lvl>
    <w:lvl w:ilvl="1">
      <w:start w:val="1"/>
      <w:numFmt w:val="decimal"/>
      <w:pStyle w:val="Teksts"/>
      <w:lvlText w:val="%1.%2."/>
      <w:lvlJc w:val="left"/>
      <w:pPr>
        <w:tabs>
          <w:tab w:val="num" w:pos="720"/>
        </w:tabs>
        <w:ind w:left="720" w:hanging="720"/>
      </w:pPr>
      <w:rPr>
        <w:rFonts w:hint="default"/>
      </w:rPr>
    </w:lvl>
    <w:lvl w:ilvl="2">
      <w:start w:val="1"/>
      <w:numFmt w:val="decimal"/>
      <w:pStyle w:val="Apakteksts"/>
      <w:lvlText w:val="%1.%2.%3."/>
      <w:lvlJc w:val="left"/>
      <w:pPr>
        <w:tabs>
          <w:tab w:val="num" w:pos="720"/>
        </w:tabs>
        <w:ind w:left="720" w:hanging="720"/>
      </w:pPr>
      <w:rPr>
        <w:rFonts w:hint="default"/>
      </w:rPr>
    </w:lvl>
    <w:lvl w:ilvl="3">
      <w:start w:val="1"/>
      <w:numFmt w:val="decimal"/>
      <w:pStyle w:val="Apakteksts0"/>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8990279"/>
    <w:multiLevelType w:val="hybridMultilevel"/>
    <w:tmpl w:val="7DC2EA1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1B3C03"/>
    <w:multiLevelType w:val="hybridMultilevel"/>
    <w:tmpl w:val="B80A0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B6"/>
    <w:rsid w:val="000C01EB"/>
    <w:rsid w:val="000D72D5"/>
    <w:rsid w:val="001521A9"/>
    <w:rsid w:val="0017193E"/>
    <w:rsid w:val="0023780F"/>
    <w:rsid w:val="002409C8"/>
    <w:rsid w:val="0024266F"/>
    <w:rsid w:val="002F36DE"/>
    <w:rsid w:val="00394E31"/>
    <w:rsid w:val="004378F6"/>
    <w:rsid w:val="0054467A"/>
    <w:rsid w:val="005C551F"/>
    <w:rsid w:val="00606037"/>
    <w:rsid w:val="0064262F"/>
    <w:rsid w:val="006B6E31"/>
    <w:rsid w:val="006D1859"/>
    <w:rsid w:val="007133E8"/>
    <w:rsid w:val="007B45F5"/>
    <w:rsid w:val="007D5C0D"/>
    <w:rsid w:val="008A3133"/>
    <w:rsid w:val="008D2F0B"/>
    <w:rsid w:val="008F00B5"/>
    <w:rsid w:val="0094566A"/>
    <w:rsid w:val="0095196C"/>
    <w:rsid w:val="0098553D"/>
    <w:rsid w:val="009E40F0"/>
    <w:rsid w:val="00AA6328"/>
    <w:rsid w:val="00B42FB6"/>
    <w:rsid w:val="00B60873"/>
    <w:rsid w:val="00B63556"/>
    <w:rsid w:val="00C253F9"/>
    <w:rsid w:val="00C26A6F"/>
    <w:rsid w:val="00C81C5E"/>
    <w:rsid w:val="00C93E8F"/>
    <w:rsid w:val="00CD0DCE"/>
    <w:rsid w:val="00CE0B12"/>
    <w:rsid w:val="00D35CD2"/>
    <w:rsid w:val="00D96DAB"/>
    <w:rsid w:val="00DE7731"/>
    <w:rsid w:val="00DF2244"/>
    <w:rsid w:val="00E14BA1"/>
    <w:rsid w:val="00E15702"/>
    <w:rsid w:val="00E23A5D"/>
    <w:rsid w:val="00E53714"/>
    <w:rsid w:val="00EA48C6"/>
    <w:rsid w:val="00F63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532B"/>
  <w15:chartTrackingRefBased/>
  <w15:docId w15:val="{D96CF199-4AA2-4B3F-ADF2-CE21FE26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48C6"/>
    <w:pPr>
      <w:keepNext/>
      <w:spacing w:before="240" w:after="60" w:line="276" w:lineRule="auto"/>
      <w:outlineLvl w:val="0"/>
    </w:pPr>
    <w:rPr>
      <w:rFonts w:ascii="Cambria" w:eastAsia="Times New Roman" w:hAnsi="Cambria" w:cs="Times New Roman"/>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rsid w:val="00B42FB6"/>
    <w:pPr>
      <w:spacing w:after="0" w:line="240" w:lineRule="auto"/>
    </w:pPr>
    <w:rPr>
      <w:rFonts w:ascii="Times New Roman" w:eastAsia="Times New Roman" w:hAnsi="Times New Roman" w:cs="Times New Roman"/>
      <w:sz w:val="24"/>
      <w:szCs w:val="24"/>
      <w:lang w:eastAsia="lv-LV"/>
    </w:rPr>
  </w:style>
  <w:style w:type="paragraph" w:customStyle="1" w:styleId="Teksts">
    <w:name w:val="Teksts"/>
    <w:basedOn w:val="Parasts1"/>
    <w:rsid w:val="008D2F0B"/>
    <w:pPr>
      <w:numPr>
        <w:ilvl w:val="1"/>
        <w:numId w:val="1"/>
      </w:numPr>
      <w:jc w:val="both"/>
    </w:pPr>
    <w:rPr>
      <w:rFonts w:ascii="CenturyOldst TL" w:hAnsi="CenturyOldst TL"/>
      <w:szCs w:val="20"/>
      <w:lang w:eastAsia="en-US"/>
    </w:rPr>
  </w:style>
  <w:style w:type="paragraph" w:customStyle="1" w:styleId="Apakteksts">
    <w:name w:val="Apakšteksts"/>
    <w:basedOn w:val="Parasts1"/>
    <w:rsid w:val="008D2F0B"/>
    <w:pPr>
      <w:numPr>
        <w:ilvl w:val="2"/>
        <w:numId w:val="1"/>
      </w:numPr>
      <w:tabs>
        <w:tab w:val="clear" w:pos="720"/>
        <w:tab w:val="num" w:pos="1134"/>
      </w:tabs>
      <w:ind w:left="1134"/>
      <w:jc w:val="both"/>
    </w:pPr>
    <w:rPr>
      <w:rFonts w:ascii="CenturyOldst TL" w:hAnsi="CenturyOldst TL"/>
      <w:szCs w:val="20"/>
      <w:lang w:eastAsia="en-US"/>
    </w:rPr>
  </w:style>
  <w:style w:type="paragraph" w:customStyle="1" w:styleId="Galva">
    <w:name w:val="Galva"/>
    <w:basedOn w:val="Parasts1"/>
    <w:rsid w:val="008D2F0B"/>
    <w:pPr>
      <w:numPr>
        <w:numId w:val="1"/>
      </w:numPr>
      <w:jc w:val="center"/>
    </w:pPr>
    <w:rPr>
      <w:rFonts w:ascii="CenturyOldst TL" w:hAnsi="CenturyOldst TL"/>
      <w:b/>
      <w:sz w:val="28"/>
      <w:szCs w:val="20"/>
      <w:lang w:eastAsia="en-US"/>
    </w:rPr>
  </w:style>
  <w:style w:type="paragraph" w:customStyle="1" w:styleId="Apakteksts0">
    <w:name w:val="ĀApakšteksts"/>
    <w:basedOn w:val="Apakteksts"/>
    <w:rsid w:val="008D2F0B"/>
    <w:pPr>
      <w:numPr>
        <w:ilvl w:val="3"/>
      </w:numPr>
      <w:tabs>
        <w:tab w:val="clear" w:pos="1080"/>
        <w:tab w:val="num" w:pos="360"/>
        <w:tab w:val="num" w:pos="2694"/>
      </w:tabs>
      <w:ind w:left="2694" w:hanging="1276"/>
    </w:pPr>
  </w:style>
  <w:style w:type="paragraph" w:customStyle="1" w:styleId="Paraststmeklis1">
    <w:name w:val="Parasts (tīmeklis)1"/>
    <w:basedOn w:val="Parasts1"/>
    <w:rsid w:val="0017193E"/>
    <w:pPr>
      <w:spacing w:before="100" w:beforeAutospacing="1" w:after="100" w:afterAutospacing="1"/>
    </w:pPr>
    <w:rPr>
      <w:rFonts w:ascii="Verdana" w:hAnsi="Verdana"/>
      <w:sz w:val="20"/>
      <w:szCs w:val="20"/>
    </w:rPr>
  </w:style>
  <w:style w:type="paragraph" w:styleId="BalloonText">
    <w:name w:val="Balloon Text"/>
    <w:basedOn w:val="Normal"/>
    <w:link w:val="BalloonTextChar"/>
    <w:uiPriority w:val="99"/>
    <w:semiHidden/>
    <w:unhideWhenUsed/>
    <w:rsid w:val="000C0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1EB"/>
    <w:rPr>
      <w:rFonts w:ascii="Segoe UI" w:hAnsi="Segoe UI" w:cs="Segoe UI"/>
      <w:sz w:val="18"/>
      <w:szCs w:val="18"/>
    </w:rPr>
  </w:style>
  <w:style w:type="character" w:styleId="Emphasis">
    <w:name w:val="Emphasis"/>
    <w:uiPriority w:val="20"/>
    <w:qFormat/>
    <w:rsid w:val="007D5C0D"/>
    <w:rPr>
      <w:i/>
      <w:iCs/>
    </w:rPr>
  </w:style>
  <w:style w:type="paragraph" w:styleId="NoSpacing">
    <w:name w:val="No Spacing"/>
    <w:uiPriority w:val="1"/>
    <w:qFormat/>
    <w:rsid w:val="007D5C0D"/>
    <w:pPr>
      <w:spacing w:after="0" w:line="240" w:lineRule="auto"/>
    </w:pPr>
    <w:rPr>
      <w:rFonts w:ascii="Calibri" w:eastAsia="Times New Roman" w:hAnsi="Calibri" w:cs="Times New Roman"/>
      <w:lang w:eastAsia="lv-LV"/>
    </w:rPr>
  </w:style>
  <w:style w:type="character" w:customStyle="1" w:styleId="st1">
    <w:name w:val="st1"/>
    <w:rsid w:val="007D5C0D"/>
  </w:style>
  <w:style w:type="character" w:customStyle="1" w:styleId="Heading1Char">
    <w:name w:val="Heading 1 Char"/>
    <w:basedOn w:val="DefaultParagraphFont"/>
    <w:link w:val="Heading1"/>
    <w:uiPriority w:val="9"/>
    <w:rsid w:val="00EA48C6"/>
    <w:rPr>
      <w:rFonts w:ascii="Cambria" w:eastAsia="Times New Roman" w:hAnsi="Cambria" w:cs="Times New Roman"/>
      <w:b/>
      <w:bCs/>
      <w:kern w:val="32"/>
      <w:sz w:val="32"/>
      <w:szCs w:val="32"/>
      <w:lang w:eastAsia="lv-LV"/>
    </w:rPr>
  </w:style>
  <w:style w:type="paragraph" w:styleId="Header">
    <w:name w:val="header"/>
    <w:basedOn w:val="Normal"/>
    <w:link w:val="HeaderChar"/>
    <w:uiPriority w:val="99"/>
    <w:unhideWhenUsed/>
    <w:rsid w:val="00EA48C6"/>
    <w:pPr>
      <w:tabs>
        <w:tab w:val="center" w:pos="4513"/>
        <w:tab w:val="right" w:pos="9026"/>
      </w:tabs>
      <w:spacing w:after="200" w:line="276" w:lineRule="auto"/>
    </w:pPr>
    <w:rPr>
      <w:rFonts w:ascii="Tahoma" w:eastAsia="Calibri" w:hAnsi="Tahoma" w:cs="Times New Roman"/>
      <w:szCs w:val="20"/>
      <w:lang w:eastAsia="lv-LV"/>
    </w:rPr>
  </w:style>
  <w:style w:type="character" w:customStyle="1" w:styleId="HeaderChar">
    <w:name w:val="Header Char"/>
    <w:basedOn w:val="DefaultParagraphFont"/>
    <w:link w:val="Header"/>
    <w:uiPriority w:val="99"/>
    <w:rsid w:val="00EA48C6"/>
    <w:rPr>
      <w:rFonts w:ascii="Tahoma" w:eastAsia="Calibri" w:hAnsi="Tahoma" w:cs="Times New Roman"/>
      <w:szCs w:val="20"/>
      <w:lang w:eastAsia="lv-LV"/>
    </w:rPr>
  </w:style>
  <w:style w:type="paragraph" w:styleId="BodyText2">
    <w:name w:val="Body Text 2"/>
    <w:basedOn w:val="Normal"/>
    <w:link w:val="BodyText2Char"/>
    <w:rsid w:val="004378F6"/>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4378F6"/>
    <w:rPr>
      <w:rFonts w:ascii="Arial" w:eastAsia="Times New Roman" w:hAnsi="Arial" w:cs="Times New Roman"/>
      <w:sz w:val="18"/>
      <w:szCs w:val="20"/>
    </w:rPr>
  </w:style>
  <w:style w:type="character" w:styleId="Strong">
    <w:name w:val="Strong"/>
    <w:uiPriority w:val="22"/>
    <w:qFormat/>
    <w:rsid w:val="00E53714"/>
    <w:rPr>
      <w:b/>
      <w:bCs/>
    </w:rPr>
  </w:style>
  <w:style w:type="character" w:styleId="CommentReference">
    <w:name w:val="annotation reference"/>
    <w:basedOn w:val="DefaultParagraphFont"/>
    <w:uiPriority w:val="99"/>
    <w:semiHidden/>
    <w:unhideWhenUsed/>
    <w:rsid w:val="00E53714"/>
    <w:rPr>
      <w:sz w:val="16"/>
      <w:szCs w:val="16"/>
    </w:rPr>
  </w:style>
  <w:style w:type="paragraph" w:styleId="CommentText">
    <w:name w:val="annotation text"/>
    <w:basedOn w:val="Normal"/>
    <w:link w:val="CommentTextChar"/>
    <w:uiPriority w:val="99"/>
    <w:semiHidden/>
    <w:unhideWhenUsed/>
    <w:rsid w:val="00E53714"/>
    <w:pPr>
      <w:spacing w:line="240" w:lineRule="auto"/>
    </w:pPr>
    <w:rPr>
      <w:sz w:val="20"/>
      <w:szCs w:val="20"/>
    </w:rPr>
  </w:style>
  <w:style w:type="character" w:customStyle="1" w:styleId="CommentTextChar">
    <w:name w:val="Comment Text Char"/>
    <w:basedOn w:val="DefaultParagraphFont"/>
    <w:link w:val="CommentText"/>
    <w:uiPriority w:val="99"/>
    <w:semiHidden/>
    <w:rsid w:val="00E53714"/>
    <w:rPr>
      <w:sz w:val="20"/>
      <w:szCs w:val="20"/>
    </w:rPr>
  </w:style>
  <w:style w:type="paragraph" w:styleId="CommentSubject">
    <w:name w:val="annotation subject"/>
    <w:basedOn w:val="CommentText"/>
    <w:next w:val="CommentText"/>
    <w:link w:val="CommentSubjectChar"/>
    <w:uiPriority w:val="99"/>
    <w:semiHidden/>
    <w:unhideWhenUsed/>
    <w:rsid w:val="00E53714"/>
    <w:rPr>
      <w:b/>
      <w:bCs/>
    </w:rPr>
  </w:style>
  <w:style w:type="character" w:customStyle="1" w:styleId="CommentSubjectChar">
    <w:name w:val="Comment Subject Char"/>
    <w:basedOn w:val="CommentTextChar"/>
    <w:link w:val="CommentSubject"/>
    <w:uiPriority w:val="99"/>
    <w:semiHidden/>
    <w:rsid w:val="00E53714"/>
    <w:rPr>
      <w:b/>
      <w:bCs/>
      <w:sz w:val="20"/>
      <w:szCs w:val="20"/>
    </w:rPr>
  </w:style>
  <w:style w:type="character" w:customStyle="1" w:styleId="None">
    <w:name w:val="None"/>
    <w:rsid w:val="00B60873"/>
  </w:style>
  <w:style w:type="character" w:styleId="Hyperlink">
    <w:name w:val="Hyperlink"/>
    <w:uiPriority w:val="99"/>
    <w:unhideWhenUsed/>
    <w:rsid w:val="00713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26750">
      <w:bodyDiv w:val="1"/>
      <w:marLeft w:val="0"/>
      <w:marRight w:val="0"/>
      <w:marTop w:val="0"/>
      <w:marBottom w:val="0"/>
      <w:divBdr>
        <w:top w:val="none" w:sz="0" w:space="0" w:color="auto"/>
        <w:left w:val="none" w:sz="0" w:space="0" w:color="auto"/>
        <w:bottom w:val="none" w:sz="0" w:space="0" w:color="auto"/>
        <w:right w:val="none" w:sz="0" w:space="0" w:color="auto"/>
      </w:divBdr>
    </w:div>
    <w:div w:id="1130592430">
      <w:bodyDiv w:val="1"/>
      <w:marLeft w:val="0"/>
      <w:marRight w:val="0"/>
      <w:marTop w:val="0"/>
      <w:marBottom w:val="0"/>
      <w:divBdr>
        <w:top w:val="none" w:sz="0" w:space="0" w:color="auto"/>
        <w:left w:val="none" w:sz="0" w:space="0" w:color="auto"/>
        <w:bottom w:val="none" w:sz="0" w:space="0" w:color="auto"/>
        <w:right w:val="none" w:sz="0" w:space="0" w:color="auto"/>
      </w:divBdr>
    </w:div>
    <w:div w:id="14111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Microsoft_Excel_97-2003_Worksheet3.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hyperlink" Target="https://www.sif.gov.lv/lv/jaunums/programmai-gimenei-draudziga-darbavieta-pievienojas-vel-38-uznemumi-un-organizacijas-0"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Microsoft_Excel_97-2003_Worksheet2.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0591-86F4-4DE6-B6CB-818EBCBB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9105</Words>
  <Characters>5190</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MariteSm</dc:creator>
  <cp:keywords/>
  <dc:description/>
  <cp:lastModifiedBy>Mārīte Šmaukstele</cp:lastModifiedBy>
  <cp:revision>41</cp:revision>
  <cp:lastPrinted>2020-05-12T11:47:00Z</cp:lastPrinted>
  <dcterms:created xsi:type="dcterms:W3CDTF">2016-05-27T08:13:00Z</dcterms:created>
  <dcterms:modified xsi:type="dcterms:W3CDTF">2023-03-29T05:49:00Z</dcterms:modified>
</cp:coreProperties>
</file>