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0B5" w:rsidRDefault="00B42FB6" w:rsidP="00B42FB6">
      <w:pPr>
        <w:jc w:val="center"/>
        <w:rPr>
          <w:rFonts w:ascii="Times New Roman" w:hAnsi="Times New Roman" w:cs="Times New Roman"/>
          <w:b/>
          <w:sz w:val="24"/>
          <w:szCs w:val="24"/>
        </w:rPr>
      </w:pPr>
      <w:r w:rsidRPr="00B42FB6">
        <w:rPr>
          <w:rFonts w:ascii="Times New Roman" w:hAnsi="Times New Roman" w:cs="Times New Roman"/>
          <w:b/>
          <w:sz w:val="24"/>
          <w:szCs w:val="24"/>
        </w:rPr>
        <w:t>KAPITĀLSABIEDRĪBAS FINANŠU UN NEFINANŠU MĒRĶU REZULTĀTI</w:t>
      </w:r>
    </w:p>
    <w:p w:rsidR="00B42FB6" w:rsidRDefault="00B42FB6" w:rsidP="00B42FB6">
      <w:pPr>
        <w:jc w:val="center"/>
        <w:rPr>
          <w:rFonts w:ascii="Times New Roman" w:hAnsi="Times New Roman" w:cs="Times New Roman"/>
          <w:b/>
          <w:sz w:val="24"/>
          <w:szCs w:val="24"/>
        </w:rPr>
      </w:pPr>
      <w:r>
        <w:rPr>
          <w:rFonts w:ascii="Times New Roman" w:hAnsi="Times New Roman" w:cs="Times New Roman"/>
          <w:b/>
          <w:sz w:val="24"/>
          <w:szCs w:val="24"/>
        </w:rPr>
        <w:t>2015.</w:t>
      </w:r>
    </w:p>
    <w:p w:rsidR="00B42FB6" w:rsidRPr="000B1C66" w:rsidRDefault="00B42FB6" w:rsidP="00B42FB6">
      <w:pPr>
        <w:pStyle w:val="Parasts1"/>
        <w:spacing w:line="276" w:lineRule="auto"/>
        <w:outlineLvl w:val="0"/>
        <w:rPr>
          <w:b/>
          <w:szCs w:val="23"/>
        </w:rPr>
      </w:pPr>
      <w:r w:rsidRPr="000B1C66">
        <w:rPr>
          <w:b/>
          <w:szCs w:val="23"/>
        </w:rPr>
        <w:t>Mākslinieciskā darbība, kultūras pakalpojumi</w:t>
      </w:r>
    </w:p>
    <w:p w:rsidR="00B42FB6" w:rsidRPr="000B1C66" w:rsidRDefault="00B42FB6" w:rsidP="00B42FB6">
      <w:pPr>
        <w:pStyle w:val="Parasts1"/>
        <w:spacing w:line="276" w:lineRule="auto"/>
        <w:ind w:left="720"/>
        <w:jc w:val="both"/>
        <w:outlineLvl w:val="0"/>
        <w:rPr>
          <w:sz w:val="22"/>
          <w:szCs w:val="23"/>
        </w:rPr>
      </w:pPr>
      <w:proofErr w:type="gramStart"/>
      <w:r w:rsidRPr="000B1C66">
        <w:rPr>
          <w:sz w:val="22"/>
          <w:szCs w:val="23"/>
        </w:rPr>
        <w:t>2015.gads</w:t>
      </w:r>
      <w:proofErr w:type="gramEnd"/>
      <w:r w:rsidRPr="000B1C66">
        <w:rPr>
          <w:sz w:val="22"/>
          <w:szCs w:val="23"/>
        </w:rPr>
        <w:t xml:space="preserve">   bijis   otrais    pilnais   SIA  “Austrumlatvijas koncertzāle”, darbības   gads, kad  tā </w:t>
      </w:r>
    </w:p>
    <w:p w:rsidR="00B42FB6" w:rsidRPr="000B1C66" w:rsidRDefault="00B42FB6" w:rsidP="00B42FB6">
      <w:pPr>
        <w:pStyle w:val="Parasts1"/>
        <w:spacing w:line="276" w:lineRule="auto"/>
        <w:jc w:val="both"/>
        <w:outlineLvl w:val="0"/>
        <w:rPr>
          <w:sz w:val="22"/>
          <w:szCs w:val="23"/>
        </w:rPr>
      </w:pPr>
      <w:r w:rsidRPr="000B1C66">
        <w:rPr>
          <w:sz w:val="22"/>
          <w:szCs w:val="23"/>
        </w:rPr>
        <w:t xml:space="preserve">nodrošinājusi pirmās jaunizbūvētās reģionālās koncertzāles Latvijā - Latgales vēstniecības GORS, saimniecisko un māksliniecisko darbību (izbūvētais objekts tika nodots ekspluatācijā </w:t>
      </w:r>
      <w:proofErr w:type="gramStart"/>
      <w:r w:rsidRPr="000B1C66">
        <w:rPr>
          <w:sz w:val="22"/>
          <w:szCs w:val="23"/>
        </w:rPr>
        <w:t>2013.gada</w:t>
      </w:r>
      <w:proofErr w:type="gramEnd"/>
      <w:r w:rsidRPr="000B1C66">
        <w:rPr>
          <w:sz w:val="22"/>
          <w:szCs w:val="23"/>
        </w:rPr>
        <w:t xml:space="preserve"> maijā).  </w:t>
      </w:r>
    </w:p>
    <w:p w:rsidR="00B42FB6" w:rsidRPr="000B1C66" w:rsidRDefault="00B42FB6" w:rsidP="00B42FB6">
      <w:pPr>
        <w:pStyle w:val="Parasts1"/>
        <w:spacing w:line="276" w:lineRule="auto"/>
        <w:ind w:firstLine="720"/>
        <w:jc w:val="both"/>
        <w:outlineLvl w:val="0"/>
        <w:rPr>
          <w:sz w:val="22"/>
          <w:szCs w:val="23"/>
        </w:rPr>
      </w:pPr>
      <w:proofErr w:type="gramStart"/>
      <w:r w:rsidRPr="000B1C66">
        <w:rPr>
          <w:sz w:val="22"/>
          <w:szCs w:val="23"/>
        </w:rPr>
        <w:t>2015.gadā</w:t>
      </w:r>
      <w:proofErr w:type="gramEnd"/>
      <w:r w:rsidRPr="000B1C66">
        <w:rPr>
          <w:sz w:val="22"/>
          <w:szCs w:val="23"/>
        </w:rPr>
        <w:t xml:space="preserve"> uzņēmuma darbs bija vērsts gan uz saimniecisko jautājumu risināšanu, gan arī augstvērtīgas un dažādas mākslinieciskās programmas sagatavošanu, atklājot unikālās koncertzāles akustiskās īpašības un piemērotību profesionālajai mākslai dažādos žanros. Tādējādi iedzīvotājiem bija pieejami kvalitatīvi kultūrpakalpojumi, papildus piesaistīti arī apmeklētāji no citiem reģioniem, kas augstu novērtē pasākumu kvalitāti un GORS sniegtās iespējas. Acīmredzami, ka Latgales vēstniecība GORS </w:t>
      </w:r>
      <w:proofErr w:type="gramStart"/>
      <w:r w:rsidRPr="000B1C66">
        <w:rPr>
          <w:sz w:val="22"/>
          <w:szCs w:val="23"/>
        </w:rPr>
        <w:t>kļuvusi</w:t>
      </w:r>
      <w:proofErr w:type="gramEnd"/>
      <w:r w:rsidRPr="000B1C66">
        <w:rPr>
          <w:sz w:val="22"/>
          <w:szCs w:val="23"/>
        </w:rPr>
        <w:t xml:space="preserve"> ne tikai par nozīmīgu un unikālu kultūras būvi ar izcilām akustiskajām koncertzālēm, tas ir arī augstvērtīgas kultūras cienītāju galamērķis, pilsētas un reģiona sociālās vides pozitīvo pārmaiņu sekmētājs, pilsētas popularizētājs, tūristu piesaistes objekts, kā arī vietējās ekonomikas veicinātājs.  </w:t>
      </w:r>
    </w:p>
    <w:p w:rsidR="00B42FB6" w:rsidRPr="000B1C66" w:rsidRDefault="00B42FB6" w:rsidP="00B42FB6">
      <w:pPr>
        <w:pStyle w:val="Parasts1"/>
        <w:spacing w:line="276" w:lineRule="auto"/>
        <w:ind w:left="720"/>
        <w:jc w:val="both"/>
        <w:outlineLvl w:val="0"/>
        <w:rPr>
          <w:b/>
          <w:sz w:val="22"/>
          <w:szCs w:val="23"/>
        </w:rPr>
      </w:pPr>
      <w:r w:rsidRPr="000B1C66">
        <w:rPr>
          <w:b/>
          <w:sz w:val="22"/>
          <w:szCs w:val="23"/>
        </w:rPr>
        <w:t xml:space="preserve">Saskaņā ar attīstības stratēģiju, </w:t>
      </w:r>
      <w:r w:rsidR="002409C8">
        <w:rPr>
          <w:b/>
          <w:sz w:val="22"/>
          <w:szCs w:val="23"/>
        </w:rPr>
        <w:t xml:space="preserve">viena no Latgales vēstniecības GORS </w:t>
      </w:r>
      <w:r w:rsidRPr="000B1C66">
        <w:rPr>
          <w:b/>
          <w:sz w:val="22"/>
          <w:szCs w:val="23"/>
        </w:rPr>
        <w:t xml:space="preserve">būtiskākajām </w:t>
      </w:r>
    </w:p>
    <w:p w:rsidR="00B42FB6" w:rsidRPr="000B1C66" w:rsidRDefault="00B42FB6" w:rsidP="00B42FB6">
      <w:pPr>
        <w:pStyle w:val="Parasts1"/>
        <w:spacing w:line="276" w:lineRule="auto"/>
        <w:jc w:val="both"/>
        <w:outlineLvl w:val="0"/>
        <w:rPr>
          <w:sz w:val="22"/>
          <w:szCs w:val="23"/>
        </w:rPr>
      </w:pPr>
      <w:r w:rsidRPr="000B1C66">
        <w:rPr>
          <w:b/>
          <w:sz w:val="22"/>
          <w:szCs w:val="23"/>
        </w:rPr>
        <w:t>un svarīgākajām funkcijām ir profesionālās mākslas (koncerti, teātra, dejas mākslas izrādes, skatuves uzvedumi u.c.) pasākumu nodrošinājums. Vēl jo nozīmīgāk tas ir, ņemot vērā izcilās koncertzāles akustiskās īpašības, ko novērtējuši gan mūziķi, gan arī klausītāji</w:t>
      </w:r>
      <w:r w:rsidRPr="000B1C66">
        <w:rPr>
          <w:sz w:val="22"/>
          <w:szCs w:val="23"/>
        </w:rPr>
        <w:t xml:space="preserve">. Līdz ar to </w:t>
      </w:r>
      <w:proofErr w:type="gramStart"/>
      <w:r w:rsidRPr="000B1C66">
        <w:rPr>
          <w:sz w:val="22"/>
          <w:szCs w:val="23"/>
        </w:rPr>
        <w:t>2015.gadā</w:t>
      </w:r>
      <w:proofErr w:type="gramEnd"/>
      <w:r w:rsidRPr="000B1C66">
        <w:rPr>
          <w:sz w:val="22"/>
          <w:szCs w:val="23"/>
        </w:rPr>
        <w:t xml:space="preserve"> SIA “Austrumlatvijas koncertzāle” aktīvi strādājusi, lai nodrošinātu dažādu žanru Latvijas un ārvalstu profesionālās skatuves mākslas, mūzikas, vizuālās un jauno mediju mākslas pieejamību kā to paredz gan iepriekšminētā projekta mērķi, gan uzņēmumam deleģētās funkcijas, kā arī saimnieciskie apsvērumi. </w:t>
      </w:r>
    </w:p>
    <w:p w:rsidR="00B42FB6" w:rsidRPr="000B1C66" w:rsidRDefault="00B42FB6" w:rsidP="00B42FB6">
      <w:pPr>
        <w:pStyle w:val="Parasts1"/>
        <w:spacing w:line="276" w:lineRule="auto"/>
        <w:ind w:firstLine="720"/>
        <w:jc w:val="both"/>
        <w:outlineLvl w:val="0"/>
        <w:rPr>
          <w:sz w:val="22"/>
          <w:szCs w:val="23"/>
        </w:rPr>
      </w:pPr>
      <w:proofErr w:type="gramStart"/>
      <w:r w:rsidRPr="000B1C66">
        <w:rPr>
          <w:sz w:val="22"/>
          <w:szCs w:val="23"/>
        </w:rPr>
        <w:t>2015.gadā</w:t>
      </w:r>
      <w:proofErr w:type="gramEnd"/>
      <w:r w:rsidRPr="000B1C66">
        <w:rPr>
          <w:sz w:val="22"/>
          <w:szCs w:val="23"/>
        </w:rPr>
        <w:t xml:space="preserve"> Latgales vēstniecībā GORS notika </w:t>
      </w:r>
      <w:r w:rsidRPr="000B1C66">
        <w:rPr>
          <w:b/>
          <w:sz w:val="22"/>
          <w:szCs w:val="23"/>
        </w:rPr>
        <w:t xml:space="preserve">158 dažādu žanru </w:t>
      </w:r>
      <w:r w:rsidRPr="000B1C66">
        <w:rPr>
          <w:sz w:val="22"/>
          <w:szCs w:val="23"/>
        </w:rPr>
        <w:t xml:space="preserve">Latvijas un ārvalstu profesionālās skatuves mākslas, </w:t>
      </w:r>
      <w:r w:rsidRPr="000B1C66">
        <w:rPr>
          <w:b/>
          <w:sz w:val="22"/>
          <w:szCs w:val="23"/>
        </w:rPr>
        <w:t>mūzikas, vizuālās un jauno mediju mākslas pasākumi</w:t>
      </w:r>
      <w:r w:rsidRPr="000B1C66">
        <w:rPr>
          <w:sz w:val="22"/>
          <w:szCs w:val="23"/>
        </w:rPr>
        <w:t>, t.sk. 49 profesionālās ievirzes koncerti un izrādes, kā arī 109 plašizklaides pasākumi. 2015.gadā SIA “Austrumlatvijas koncertzāle” organizēja 91 pasākumu, 67 bija nomas pasākumi, ko organizējušas dažādas producentu apvienības un koncertorganizācijas, 42 bijuši nomas pasākumi)</w:t>
      </w:r>
    </w:p>
    <w:p w:rsidR="00B42FB6" w:rsidRPr="000B1C66" w:rsidRDefault="00B42FB6" w:rsidP="00B42FB6">
      <w:pPr>
        <w:pStyle w:val="Parasts1"/>
        <w:spacing w:line="276" w:lineRule="auto"/>
        <w:ind w:firstLine="720"/>
        <w:jc w:val="both"/>
        <w:outlineLvl w:val="0"/>
        <w:rPr>
          <w:sz w:val="22"/>
          <w:szCs w:val="23"/>
        </w:rPr>
      </w:pPr>
      <w:r w:rsidRPr="000B1C66">
        <w:rPr>
          <w:sz w:val="22"/>
          <w:szCs w:val="23"/>
        </w:rPr>
        <w:t xml:space="preserve">Latgales vēstniecība GORS </w:t>
      </w:r>
      <w:proofErr w:type="gramStart"/>
      <w:r w:rsidRPr="000B1C66">
        <w:rPr>
          <w:sz w:val="22"/>
          <w:szCs w:val="23"/>
        </w:rPr>
        <w:t>2015.gadā</w:t>
      </w:r>
      <w:proofErr w:type="gramEnd"/>
      <w:r w:rsidRPr="000B1C66">
        <w:rPr>
          <w:sz w:val="22"/>
          <w:szCs w:val="23"/>
        </w:rPr>
        <w:t xml:space="preserve"> ir kļuvusi par vienu no svarīgākajiem tūrisma galamērķiem Latgales pusē, tā ir mākslinieciskajā aspektā pievilcīga Latvijas un ārvalstu mūzikas kolektīviem un māksliniekiem. 2015.gadā uz GORS skatuves ir</w:t>
      </w:r>
      <w:r w:rsidRPr="000B1C66">
        <w:rPr>
          <w:b/>
          <w:sz w:val="22"/>
          <w:szCs w:val="23"/>
        </w:rPr>
        <w:t xml:space="preserve"> uzstājušies mūziķi no Latvijas, Krievijas, Vācijas, Šveices, Lielbritānijas, Zviedrijas, Argentīnas, ASV, Ķīnas, Gruzijas, Čehijas u.c. pasaules valstīm</w:t>
      </w:r>
      <w:r w:rsidRPr="000B1C66">
        <w:rPr>
          <w:sz w:val="22"/>
          <w:szCs w:val="23"/>
        </w:rPr>
        <w:t xml:space="preserve">. Viņu vidū </w:t>
      </w:r>
      <w:r w:rsidRPr="000B1C66">
        <w:rPr>
          <w:b/>
          <w:sz w:val="22"/>
          <w:szCs w:val="23"/>
        </w:rPr>
        <w:t>daudzi starptautisku atzinību guvuši mūziķi un kolektīvi</w:t>
      </w:r>
      <w:r w:rsidRPr="000B1C66">
        <w:rPr>
          <w:sz w:val="22"/>
          <w:szCs w:val="23"/>
        </w:rPr>
        <w:t>: Valsts kamerorķestris “Sinfonietta Rīga”, Latvijas Radio koris, Latvijas Nacionālais Simfoniskais orķestris, Liepājas Simfoniskais orķestris, Latvijas Nacionālās operas balets, Valsts Akadēmiskais koris Latvija, pianists Reinis Zariņš, vijolnieki Eva Bindere, Koļa Blahers, Vineta Sareika, čelliste Kristīne Blaumane, ērģeļniece Iveta Apkalna,</w:t>
      </w:r>
      <w:proofErr w:type="gramStart"/>
      <w:r w:rsidRPr="000B1C66">
        <w:rPr>
          <w:sz w:val="22"/>
          <w:szCs w:val="23"/>
        </w:rPr>
        <w:t xml:space="preserve">  </w:t>
      </w:r>
      <w:proofErr w:type="gramEnd"/>
      <w:r w:rsidRPr="000B1C66">
        <w:rPr>
          <w:sz w:val="22"/>
          <w:szCs w:val="23"/>
        </w:rPr>
        <w:t>Londonas Tribute grupa “The Beatles”, ASV laikmetīgās dejas kompānija “Complexions”, Kungfu laikmetīgās dejas kompānija (Ķīna), dziedātāji Sofia Rei (Argentīna), grupa “Egari” (Gruzija), grupa “The Real Group” un džeza mūzikas izpildītājs Nils Landgrēns (Zviedrija), Alise Francis (Vācija) u.c. Tāpat uz Latgales vēstniecības GORS skatuves uzstājušies Vairāki Krievijas mūziķi un grupas - Oļegs Pogudins, Vera Brežņeva, Valērijs Meladze</w:t>
      </w:r>
      <w:r w:rsidRPr="000B1C66">
        <w:rPr>
          <w:i/>
          <w:sz w:val="22"/>
          <w:szCs w:val="23"/>
        </w:rPr>
        <w:t xml:space="preserve">, </w:t>
      </w:r>
      <w:r w:rsidRPr="000B1C66">
        <w:rPr>
          <w:sz w:val="22"/>
          <w:szCs w:val="23"/>
        </w:rPr>
        <w:t>Alekseja Ribņikova</w:t>
      </w:r>
      <w:r w:rsidRPr="000B1C66">
        <w:rPr>
          <w:i/>
          <w:sz w:val="22"/>
          <w:szCs w:val="23"/>
        </w:rPr>
        <w:t xml:space="preserve"> </w:t>
      </w:r>
      <w:r w:rsidRPr="000B1C66">
        <w:rPr>
          <w:sz w:val="22"/>
          <w:szCs w:val="23"/>
        </w:rPr>
        <w:t>muzikālais teātris,</w:t>
      </w:r>
      <w:r w:rsidRPr="000B1C66">
        <w:rPr>
          <w:i/>
          <w:sz w:val="22"/>
          <w:szCs w:val="23"/>
        </w:rPr>
        <w:t xml:space="preserve"> </w:t>
      </w:r>
      <w:r w:rsidRPr="000B1C66">
        <w:rPr>
          <w:sz w:val="22"/>
          <w:szCs w:val="23"/>
        </w:rPr>
        <w:t>Latvijas skatuves mākslinieki</w:t>
      </w:r>
      <w:r w:rsidRPr="000B1C66">
        <w:rPr>
          <w:i/>
          <w:sz w:val="22"/>
          <w:szCs w:val="23"/>
        </w:rPr>
        <w:t xml:space="preserve"> - </w:t>
      </w:r>
      <w:r w:rsidRPr="000B1C66">
        <w:rPr>
          <w:sz w:val="22"/>
          <w:szCs w:val="23"/>
        </w:rPr>
        <w:t xml:space="preserve">Intars Busulis, Dons, Ainars Mielavs, </w:t>
      </w:r>
      <w:r w:rsidRPr="000B1C66">
        <w:rPr>
          <w:i/>
          <w:sz w:val="22"/>
          <w:szCs w:val="23"/>
        </w:rPr>
        <w:t xml:space="preserve">Melo M, Eolika, Raxtu Raxti, Iļģi, Dakota, </w:t>
      </w:r>
      <w:r w:rsidRPr="000B1C66">
        <w:rPr>
          <w:sz w:val="22"/>
          <w:szCs w:val="23"/>
        </w:rPr>
        <w:t>Astrarulsmirus</w:t>
      </w:r>
      <w:r w:rsidRPr="000B1C66">
        <w:rPr>
          <w:i/>
          <w:sz w:val="22"/>
          <w:szCs w:val="23"/>
        </w:rPr>
        <w:t xml:space="preserve">, Latvian Voices, </w:t>
      </w:r>
      <w:r w:rsidRPr="000B1C66">
        <w:rPr>
          <w:sz w:val="22"/>
          <w:szCs w:val="23"/>
        </w:rPr>
        <w:t>Aija Andrejeva</w:t>
      </w:r>
      <w:r w:rsidRPr="000B1C66">
        <w:rPr>
          <w:i/>
          <w:sz w:val="22"/>
          <w:szCs w:val="23"/>
        </w:rPr>
        <w:t>, Da Gamba, Labvēlīgais Tips, Triānas Parks, Musiqq</w:t>
      </w:r>
      <w:r w:rsidRPr="000B1C66">
        <w:rPr>
          <w:sz w:val="22"/>
          <w:szCs w:val="23"/>
        </w:rPr>
        <w:t xml:space="preserve"> u.c. Notikusi vairāku Latvijas un Krievijas kinoaktieru uzstāšanās festivāla „Open Place” laikā.  </w:t>
      </w:r>
    </w:p>
    <w:p w:rsidR="00B42FB6" w:rsidRPr="000B1C66" w:rsidRDefault="00B42FB6" w:rsidP="00B42FB6">
      <w:pPr>
        <w:pStyle w:val="Parasts1"/>
        <w:spacing w:line="276" w:lineRule="auto"/>
        <w:ind w:firstLine="720"/>
        <w:jc w:val="both"/>
        <w:outlineLvl w:val="0"/>
        <w:rPr>
          <w:sz w:val="22"/>
          <w:szCs w:val="23"/>
        </w:rPr>
      </w:pPr>
      <w:r w:rsidRPr="000B1C66">
        <w:rPr>
          <w:sz w:val="22"/>
          <w:szCs w:val="23"/>
        </w:rPr>
        <w:t xml:space="preserve">Turpinājusies arī sadarbība ar VSIA “Latvijas koncerti”, VSIA “Latvijas Nacionālais Simfoniskais orķestris”, VSIA “Latvijas Nacionālā opera’, VSIA “Nacionālais teātris”, VSIA “Dailes teātris”, VSIA “Valmieras Drāmas teātris”, VSIA “Liepājas teātris”, VSIA “Latvijas Leļļu teātris”, kā arī privātajām producentu kompānijām, izveidota un attīstīta starptautiskā sadarbība. </w:t>
      </w:r>
    </w:p>
    <w:p w:rsidR="00B42FB6" w:rsidRPr="000B1C66" w:rsidRDefault="00B42FB6" w:rsidP="00B42FB6">
      <w:pPr>
        <w:pStyle w:val="Parasts1"/>
        <w:spacing w:line="276" w:lineRule="auto"/>
        <w:ind w:firstLine="720"/>
        <w:jc w:val="both"/>
        <w:outlineLvl w:val="0"/>
        <w:rPr>
          <w:sz w:val="22"/>
          <w:szCs w:val="23"/>
        </w:rPr>
      </w:pPr>
      <w:r w:rsidRPr="000B1C66">
        <w:rPr>
          <w:sz w:val="22"/>
          <w:szCs w:val="23"/>
        </w:rPr>
        <w:t>Uzņēmums atbilstoši piešķirtajai pašva</w:t>
      </w:r>
      <w:r>
        <w:rPr>
          <w:sz w:val="22"/>
          <w:szCs w:val="23"/>
        </w:rPr>
        <w:t>ldības dotācijai ir organizējis</w:t>
      </w:r>
      <w:r w:rsidRPr="000B1C66">
        <w:rPr>
          <w:sz w:val="22"/>
          <w:szCs w:val="23"/>
        </w:rPr>
        <w:t xml:space="preserve"> 11.Baroka mūzikas dienas Rēzeknē, Pirmo ērģeļmūzikas festivālu ORGANismi un LR proklamēšanas </w:t>
      </w:r>
      <w:proofErr w:type="gramStart"/>
      <w:r w:rsidRPr="000B1C66">
        <w:rPr>
          <w:sz w:val="22"/>
          <w:szCs w:val="23"/>
        </w:rPr>
        <w:t>98.gadadienas</w:t>
      </w:r>
      <w:proofErr w:type="gramEnd"/>
      <w:r w:rsidRPr="000B1C66">
        <w:rPr>
          <w:sz w:val="22"/>
          <w:szCs w:val="23"/>
        </w:rPr>
        <w:t xml:space="preserve"> Svētku koncertu. </w:t>
      </w:r>
      <w:r w:rsidRPr="000B1C66">
        <w:rPr>
          <w:b/>
          <w:sz w:val="22"/>
          <w:szCs w:val="23"/>
        </w:rPr>
        <w:t xml:space="preserve">Nozīmīgs faktors, kas veicinājis profesionālās mākslas pieejamību, bijis noslēgtais līdzdarbības līgums ar Kultūras ministriju, kā arī SIA “Austrumlatvijas koncertzāle” ieguldītais darbs </w:t>
      </w:r>
      <w:proofErr w:type="gramStart"/>
      <w:r w:rsidRPr="000B1C66">
        <w:rPr>
          <w:b/>
          <w:sz w:val="22"/>
          <w:szCs w:val="23"/>
        </w:rPr>
        <w:t>Valsts Kultūrkapitāla fonda</w:t>
      </w:r>
      <w:proofErr w:type="gramEnd"/>
      <w:r w:rsidRPr="000B1C66">
        <w:rPr>
          <w:b/>
          <w:sz w:val="22"/>
          <w:szCs w:val="23"/>
        </w:rPr>
        <w:t xml:space="preserve"> projektu konkursos.</w:t>
      </w:r>
      <w:r w:rsidRPr="000B1C66">
        <w:rPr>
          <w:sz w:val="22"/>
          <w:szCs w:val="23"/>
        </w:rPr>
        <w:t xml:space="preserve"> </w:t>
      </w:r>
      <w:r w:rsidRPr="000B1C66">
        <w:rPr>
          <w:b/>
        </w:rPr>
        <w:t>Kultūras ministrijas finansējums</w:t>
      </w:r>
      <w:r w:rsidRPr="000B1C66">
        <w:t xml:space="preserve"> – 159 134,00 EUR</w:t>
      </w:r>
      <w:r>
        <w:t xml:space="preserve"> </w:t>
      </w:r>
      <w:r>
        <w:lastRenderedPageBreak/>
        <w:t>(apsaimniekoti kopā ar atlikumu 159343.84 EUR)</w:t>
      </w:r>
      <w:r w:rsidRPr="000B1C66">
        <w:t xml:space="preserve">, </w:t>
      </w:r>
      <w:r w:rsidRPr="000B1C66">
        <w:rPr>
          <w:b/>
        </w:rPr>
        <w:t xml:space="preserve">VKKF projektu konkursu finansējums, kas piesaistīts </w:t>
      </w:r>
      <w:proofErr w:type="gramStart"/>
      <w:r w:rsidRPr="000B1C66">
        <w:rPr>
          <w:b/>
        </w:rPr>
        <w:t>2015.gadā</w:t>
      </w:r>
      <w:proofErr w:type="gramEnd"/>
      <w:r w:rsidRPr="000B1C66">
        <w:t xml:space="preserve"> – </w:t>
      </w:r>
      <w:r>
        <w:t>32</w:t>
      </w:r>
      <w:r w:rsidRPr="000B1C66">
        <w:t xml:space="preserve"> 900,00 EUR</w:t>
      </w:r>
      <w:r>
        <w:t xml:space="preserve"> (apsaimniekoti kopā ar atlikumu 39437.55 EUR)</w:t>
      </w:r>
      <w:r w:rsidRPr="000B1C66">
        <w:t>.</w:t>
      </w:r>
    </w:p>
    <w:p w:rsidR="00B42FB6" w:rsidRPr="000B1C66" w:rsidRDefault="00B42FB6" w:rsidP="00B42FB6">
      <w:pPr>
        <w:pStyle w:val="Parasts1"/>
        <w:spacing w:line="276" w:lineRule="auto"/>
        <w:ind w:firstLine="720"/>
        <w:jc w:val="both"/>
        <w:outlineLvl w:val="0"/>
        <w:rPr>
          <w:sz w:val="22"/>
          <w:szCs w:val="23"/>
        </w:rPr>
      </w:pPr>
      <w:r w:rsidRPr="000B1C66">
        <w:rPr>
          <w:b/>
          <w:sz w:val="22"/>
          <w:szCs w:val="23"/>
        </w:rPr>
        <w:t>Pateicoties SIA „Austrumlatvijas koncertzāle” Lielās zāles teicamajām akustiskajām kvalitātēm, kā dēļ interese no mūziķu puses par iespējām koncertēt šeit ir bijusi ļoti augsta</w:t>
      </w:r>
      <w:r w:rsidRPr="000B1C66">
        <w:rPr>
          <w:sz w:val="22"/>
          <w:szCs w:val="23"/>
        </w:rPr>
        <w:t xml:space="preserve">. Par to liecina fakts, ka Latvijas Radio kora </w:t>
      </w:r>
      <w:proofErr w:type="gramStart"/>
      <w:r w:rsidRPr="000B1C66">
        <w:rPr>
          <w:sz w:val="22"/>
          <w:szCs w:val="23"/>
        </w:rPr>
        <w:t>75.gadu</w:t>
      </w:r>
      <w:proofErr w:type="gramEnd"/>
      <w:r w:rsidRPr="000B1C66">
        <w:rPr>
          <w:sz w:val="22"/>
          <w:szCs w:val="23"/>
        </w:rPr>
        <w:t xml:space="preserve"> Jubilejas koncerta norises vieta bija tieši Latgales vēstniecībā GORS. Lielās zāles akustiku izbaudīja arī tie klausītāji, kas apmeklēja Starptautiskā folkloras festivāla BALTICA koncertu “Četri vārdi”</w:t>
      </w:r>
      <w:r>
        <w:rPr>
          <w:sz w:val="22"/>
          <w:szCs w:val="23"/>
        </w:rPr>
        <w:t>.</w:t>
      </w:r>
    </w:p>
    <w:p w:rsidR="00B42FB6" w:rsidRPr="000B1C66" w:rsidRDefault="00B42FB6" w:rsidP="00B42FB6">
      <w:pPr>
        <w:pStyle w:val="Parasts1"/>
        <w:spacing w:line="276" w:lineRule="auto"/>
        <w:ind w:firstLine="720"/>
        <w:jc w:val="both"/>
        <w:outlineLvl w:val="0"/>
        <w:rPr>
          <w:sz w:val="22"/>
          <w:szCs w:val="23"/>
        </w:rPr>
      </w:pPr>
      <w:r w:rsidRPr="000B1C66">
        <w:rPr>
          <w:sz w:val="22"/>
          <w:szCs w:val="23"/>
        </w:rPr>
        <w:t xml:space="preserve">Ir notikušas dažādas radošas </w:t>
      </w:r>
      <w:r w:rsidRPr="000B1C66">
        <w:rPr>
          <w:b/>
          <w:sz w:val="22"/>
          <w:szCs w:val="23"/>
        </w:rPr>
        <w:t>darbnīcas un meistarklases</w:t>
      </w:r>
      <w:r w:rsidRPr="000B1C66">
        <w:rPr>
          <w:sz w:val="22"/>
          <w:szCs w:val="23"/>
        </w:rPr>
        <w:t xml:space="preserve"> pasākumu laikā (Dearty Deal Theatr radošas darbnīcas), Baroka mūzikas dienu un festivāla ORGANismi meistarklases.</w:t>
      </w:r>
    </w:p>
    <w:p w:rsidR="00B42FB6" w:rsidRPr="000B1C66" w:rsidRDefault="00B42FB6" w:rsidP="00B42FB6">
      <w:pPr>
        <w:pStyle w:val="Parasts1"/>
        <w:spacing w:line="276" w:lineRule="auto"/>
        <w:ind w:firstLine="720"/>
        <w:jc w:val="both"/>
        <w:outlineLvl w:val="0"/>
        <w:rPr>
          <w:sz w:val="22"/>
          <w:szCs w:val="23"/>
        </w:rPr>
      </w:pPr>
      <w:proofErr w:type="gramStart"/>
      <w:r w:rsidRPr="000B1C66">
        <w:rPr>
          <w:sz w:val="22"/>
          <w:szCs w:val="23"/>
        </w:rPr>
        <w:t>2015.gadā</w:t>
      </w:r>
      <w:proofErr w:type="gramEnd"/>
      <w:r w:rsidRPr="000B1C66">
        <w:rPr>
          <w:sz w:val="22"/>
          <w:szCs w:val="23"/>
        </w:rPr>
        <w:t xml:space="preserve"> vairāk kā 12 reizes dažādos pilsētas un novada pasākumos koncertēja</w:t>
      </w:r>
      <w:r w:rsidRPr="000B1C66">
        <w:rPr>
          <w:b/>
          <w:sz w:val="22"/>
          <w:szCs w:val="23"/>
        </w:rPr>
        <w:t xml:space="preserve"> pilsētas pūšamo instrumentu orķestris </w:t>
      </w:r>
      <w:r w:rsidRPr="000B1C66">
        <w:rPr>
          <w:b/>
          <w:i/>
          <w:sz w:val="22"/>
          <w:szCs w:val="23"/>
        </w:rPr>
        <w:t xml:space="preserve">Rēzekne, </w:t>
      </w:r>
      <w:r w:rsidRPr="000B1C66">
        <w:rPr>
          <w:b/>
          <w:sz w:val="22"/>
          <w:szCs w:val="23"/>
        </w:rPr>
        <w:t>kā arī šī orķestra struktūrā izveidotais</w:t>
      </w:r>
      <w:r w:rsidRPr="000B1C66">
        <w:rPr>
          <w:b/>
          <w:i/>
          <w:sz w:val="22"/>
          <w:szCs w:val="23"/>
        </w:rPr>
        <w:t xml:space="preserve"> Rēzeknes bigbends</w:t>
      </w:r>
      <w:r>
        <w:rPr>
          <w:sz w:val="22"/>
          <w:szCs w:val="23"/>
        </w:rPr>
        <w:t>.</w:t>
      </w:r>
      <w:r w:rsidRPr="000B1C66">
        <w:rPr>
          <w:sz w:val="22"/>
          <w:szCs w:val="23"/>
        </w:rPr>
        <w:t xml:space="preserve"> Tapušas jaunas programmas sadarbībā ar Latvijā pazīstamiem mūziķiem – Andri Ērgli, Agri Daņilenko, Diānu Pīrāgs, Laimi Rācenāju. </w:t>
      </w:r>
      <w:proofErr w:type="gramStart"/>
      <w:r w:rsidRPr="000B1C66">
        <w:rPr>
          <w:sz w:val="22"/>
          <w:szCs w:val="23"/>
        </w:rPr>
        <w:t>2015.gadā</w:t>
      </w:r>
      <w:proofErr w:type="gramEnd"/>
      <w:r w:rsidRPr="000B1C66">
        <w:rPr>
          <w:sz w:val="22"/>
          <w:szCs w:val="23"/>
        </w:rPr>
        <w:t xml:space="preserve"> orķestris un tā bigbends veidoja programmas gan valsts svētku koncertiem, gan Rēzeknes pilsētas skolotājiem viņu profesionālajos svētkos, Latgales vēstniecības GORS korporatīvajiem klientiem, Starptautiskās konferences </w:t>
      </w:r>
      <w:r w:rsidRPr="000B1C66">
        <w:rPr>
          <w:i/>
          <w:sz w:val="22"/>
          <w:szCs w:val="23"/>
        </w:rPr>
        <w:t>Biznesa forums</w:t>
      </w:r>
      <w:r w:rsidRPr="000B1C66">
        <w:rPr>
          <w:sz w:val="22"/>
          <w:szCs w:val="23"/>
        </w:rPr>
        <w:t xml:space="preserve"> viesiem utt.  Pozitīvi attīstījās arī Rēzeknes kamerorķestra darbība diriģenta Jāņa Stafecka vadībā, tapa divas koncertprogrammas – “Plaukstošais jasmīns” ar brīnumbērna Daniila Bulajeva piedalīšanos un “baltais koncert</w:t>
      </w:r>
      <w:r>
        <w:rPr>
          <w:sz w:val="22"/>
          <w:szCs w:val="23"/>
        </w:rPr>
        <w:t>s” ar pianista Riharda Plešanova</w:t>
      </w:r>
      <w:r w:rsidRPr="000B1C66">
        <w:rPr>
          <w:sz w:val="22"/>
          <w:szCs w:val="23"/>
        </w:rPr>
        <w:t xml:space="preserve"> un solistes Sonoras Vaices piedalīšanos.</w:t>
      </w:r>
    </w:p>
    <w:p w:rsidR="00B42FB6" w:rsidRPr="000B1C66" w:rsidRDefault="00B42FB6" w:rsidP="00B42FB6">
      <w:pPr>
        <w:pStyle w:val="Parasts1"/>
        <w:spacing w:line="276" w:lineRule="auto"/>
        <w:ind w:firstLine="720"/>
        <w:jc w:val="both"/>
        <w:outlineLvl w:val="0"/>
        <w:rPr>
          <w:sz w:val="22"/>
          <w:szCs w:val="23"/>
        </w:rPr>
      </w:pPr>
      <w:r w:rsidRPr="000B1C66">
        <w:rPr>
          <w:sz w:val="22"/>
          <w:szCs w:val="23"/>
        </w:rPr>
        <w:t xml:space="preserve">Pastāvīgs SIA “Austrumlatvijas koncertzāle” </w:t>
      </w:r>
      <w:r w:rsidRPr="000B1C66">
        <w:rPr>
          <w:b/>
          <w:sz w:val="22"/>
          <w:szCs w:val="23"/>
        </w:rPr>
        <w:t>sadarbības partneris ir J.Ivanova Rēzeknes mūzikas vidusskola</w:t>
      </w:r>
      <w:r w:rsidRPr="000B1C66">
        <w:rPr>
          <w:sz w:val="22"/>
          <w:szCs w:val="23"/>
        </w:rPr>
        <w:t xml:space="preserve">. Mūzikas skolas un vidusskolas audzēkņi piedalījās visos Rēzeknes kamerorķestra koncertos, Baroka mūzikas dienu projektā, ērģeļmūzikas festivāla ORGANismi koncertizrādē “Saule.Bērni.Rainis”. </w:t>
      </w:r>
    </w:p>
    <w:p w:rsidR="00B42FB6" w:rsidRPr="000B1C66" w:rsidRDefault="00B42FB6" w:rsidP="00B42FB6">
      <w:pPr>
        <w:pStyle w:val="Parasts1"/>
        <w:spacing w:line="276" w:lineRule="auto"/>
        <w:ind w:firstLine="720"/>
        <w:jc w:val="both"/>
        <w:outlineLvl w:val="0"/>
        <w:rPr>
          <w:sz w:val="22"/>
          <w:szCs w:val="23"/>
        </w:rPr>
      </w:pPr>
      <w:r w:rsidRPr="000B1C66">
        <w:rPr>
          <w:sz w:val="22"/>
          <w:szCs w:val="23"/>
        </w:rPr>
        <w:t xml:space="preserve">Lai nodrošinātu kino demonstrēšanas funkciju </w:t>
      </w:r>
      <w:proofErr w:type="gramStart"/>
      <w:r w:rsidRPr="000B1C66">
        <w:rPr>
          <w:sz w:val="22"/>
          <w:szCs w:val="23"/>
        </w:rPr>
        <w:t>2015.gadā</w:t>
      </w:r>
      <w:proofErr w:type="gramEnd"/>
      <w:r w:rsidRPr="000B1C66">
        <w:rPr>
          <w:sz w:val="22"/>
          <w:szCs w:val="23"/>
        </w:rPr>
        <w:t>, GORS Mazā zāle tika iznomāta kino operatoram, kas saglabājusi kino demonstrēšanas intensitāti un nodrošināja vairāku kinoseansu demonstrāciju (</w:t>
      </w:r>
      <w:r w:rsidRPr="000B1C66">
        <w:rPr>
          <w:b/>
          <w:sz w:val="22"/>
          <w:szCs w:val="23"/>
        </w:rPr>
        <w:t>vidēji 50 filmu seansi mēnesī).</w:t>
      </w:r>
      <w:r w:rsidRPr="000B1C66">
        <w:rPr>
          <w:sz w:val="22"/>
          <w:szCs w:val="23"/>
        </w:rPr>
        <w:t xml:space="preserve"> </w:t>
      </w:r>
    </w:p>
    <w:p w:rsidR="00B42FB6" w:rsidRPr="000B1C66" w:rsidRDefault="00B42FB6" w:rsidP="00B42FB6">
      <w:pPr>
        <w:pStyle w:val="Parasts1"/>
        <w:spacing w:line="276" w:lineRule="auto"/>
        <w:ind w:firstLine="720"/>
        <w:jc w:val="both"/>
        <w:outlineLvl w:val="0"/>
        <w:rPr>
          <w:sz w:val="22"/>
          <w:szCs w:val="23"/>
        </w:rPr>
      </w:pPr>
      <w:proofErr w:type="gramStart"/>
      <w:r w:rsidRPr="000B1C66">
        <w:rPr>
          <w:sz w:val="22"/>
          <w:szCs w:val="23"/>
        </w:rPr>
        <w:t>2015.gadā</w:t>
      </w:r>
      <w:proofErr w:type="gramEnd"/>
      <w:r w:rsidRPr="000B1C66">
        <w:rPr>
          <w:sz w:val="22"/>
          <w:szCs w:val="23"/>
        </w:rPr>
        <w:t xml:space="preserve"> koncertzāles 1. un 2.stāva foajē ir notikušas </w:t>
      </w:r>
      <w:r w:rsidRPr="000B1C66">
        <w:rPr>
          <w:b/>
          <w:sz w:val="22"/>
          <w:szCs w:val="23"/>
        </w:rPr>
        <w:t>11 foto māksla, glezniecība, dizaina izstādes</w:t>
      </w:r>
      <w:r w:rsidRPr="000B1C66">
        <w:rPr>
          <w:sz w:val="22"/>
          <w:szCs w:val="23"/>
        </w:rPr>
        <w:t xml:space="preserve">, no kurām kā viena no nozīmīgākajām jāmin izstāde </w:t>
      </w:r>
      <w:r w:rsidRPr="000B1C66">
        <w:rPr>
          <w:i/>
          <w:sz w:val="22"/>
          <w:szCs w:val="23"/>
        </w:rPr>
        <w:t>Dizaina manifestācija. Situācija</w:t>
      </w:r>
      <w:r w:rsidRPr="000B1C66">
        <w:rPr>
          <w:sz w:val="22"/>
          <w:szCs w:val="23"/>
        </w:rPr>
        <w:t>.</w:t>
      </w:r>
    </w:p>
    <w:p w:rsidR="00B42FB6" w:rsidRPr="000B1C66" w:rsidRDefault="00B42FB6" w:rsidP="00B42FB6">
      <w:pPr>
        <w:pStyle w:val="Parasts1"/>
        <w:spacing w:line="276" w:lineRule="auto"/>
        <w:ind w:firstLine="720"/>
        <w:jc w:val="both"/>
        <w:outlineLvl w:val="0"/>
        <w:rPr>
          <w:sz w:val="22"/>
          <w:szCs w:val="23"/>
        </w:rPr>
      </w:pPr>
      <w:proofErr w:type="gramStart"/>
      <w:r w:rsidRPr="000B1C66">
        <w:rPr>
          <w:sz w:val="22"/>
          <w:szCs w:val="23"/>
        </w:rPr>
        <w:t>2015.gadā</w:t>
      </w:r>
      <w:proofErr w:type="gramEnd"/>
      <w:r w:rsidRPr="000B1C66">
        <w:rPr>
          <w:sz w:val="22"/>
          <w:szCs w:val="23"/>
        </w:rPr>
        <w:t xml:space="preserve"> SIA „Austrumlatvija koncertzāle” </w:t>
      </w:r>
      <w:r w:rsidRPr="000B1C66">
        <w:rPr>
          <w:b/>
          <w:sz w:val="22"/>
          <w:szCs w:val="23"/>
        </w:rPr>
        <w:t>organizēti 67 semināri</w:t>
      </w:r>
      <w:r w:rsidRPr="000B1C66">
        <w:rPr>
          <w:sz w:val="22"/>
          <w:szCs w:val="23"/>
        </w:rPr>
        <w:t>, konferences un korporatīvie pasākumi, kā arī organizētas 354 ekskursijas 7970 cilvēkiem, kas liecina par stabilu un joprojām pieaugošu ekskursantu skaitu.</w:t>
      </w:r>
    </w:p>
    <w:p w:rsidR="00B42FB6" w:rsidRPr="000B1C66" w:rsidRDefault="00B42FB6" w:rsidP="00B42FB6">
      <w:pPr>
        <w:pStyle w:val="Parasts1"/>
        <w:spacing w:line="276" w:lineRule="auto"/>
        <w:ind w:firstLine="720"/>
        <w:jc w:val="both"/>
        <w:outlineLvl w:val="0"/>
        <w:rPr>
          <w:sz w:val="22"/>
          <w:szCs w:val="23"/>
        </w:rPr>
      </w:pPr>
      <w:r w:rsidRPr="000B1C66">
        <w:rPr>
          <w:sz w:val="22"/>
          <w:szCs w:val="23"/>
        </w:rPr>
        <w:t xml:space="preserve">Kopumā 2015. gadā Latgales vēstniecībā GORS rīkotos pasākumus ir apmeklējuši </w:t>
      </w:r>
      <w:r w:rsidR="000D72D5">
        <w:rPr>
          <w:sz w:val="22"/>
          <w:szCs w:val="23"/>
        </w:rPr>
        <w:t>158400</w:t>
      </w:r>
      <w:bookmarkStart w:id="0" w:name="_GoBack"/>
      <w:bookmarkEnd w:id="0"/>
      <w:r w:rsidRPr="000B1C66">
        <w:rPr>
          <w:sz w:val="22"/>
          <w:szCs w:val="23"/>
        </w:rPr>
        <w:t xml:space="preserve"> cilvēki, tostarp p</w:t>
      </w:r>
      <w:r>
        <w:rPr>
          <w:sz w:val="22"/>
          <w:szCs w:val="23"/>
        </w:rPr>
        <w:t xml:space="preserve">ubliskos kultūras pasākumus </w:t>
      </w:r>
      <w:r w:rsidRPr="000B1C66">
        <w:rPr>
          <w:sz w:val="22"/>
          <w:szCs w:val="23"/>
        </w:rPr>
        <w:t xml:space="preserve">71 450 apmeklētāji Statistikā nav iekļauti ikdienas apmeklētāji- interesenti. To skaits varētu būt vairāki tūkstoši.  </w:t>
      </w:r>
    </w:p>
    <w:p w:rsidR="00B42FB6" w:rsidRPr="000B1C66" w:rsidRDefault="00B42FB6" w:rsidP="00B42FB6">
      <w:pPr>
        <w:pStyle w:val="Parasts1"/>
        <w:spacing w:line="276" w:lineRule="auto"/>
        <w:ind w:firstLine="720"/>
        <w:jc w:val="both"/>
        <w:outlineLvl w:val="0"/>
        <w:rPr>
          <w:sz w:val="22"/>
          <w:szCs w:val="23"/>
        </w:rPr>
      </w:pPr>
      <w:r w:rsidRPr="000B1C66">
        <w:rPr>
          <w:sz w:val="22"/>
          <w:szCs w:val="23"/>
        </w:rPr>
        <w:t xml:space="preserve">Uzņēmuma darbība </w:t>
      </w:r>
      <w:proofErr w:type="gramStart"/>
      <w:r w:rsidRPr="000B1C66">
        <w:rPr>
          <w:sz w:val="22"/>
          <w:szCs w:val="23"/>
        </w:rPr>
        <w:t>2015.gadā</w:t>
      </w:r>
      <w:proofErr w:type="gramEnd"/>
      <w:r w:rsidRPr="000B1C66">
        <w:rPr>
          <w:sz w:val="22"/>
          <w:szCs w:val="23"/>
        </w:rPr>
        <w:t xml:space="preserve"> vairākkārt novērtēta Latvijas kultūras vidē – te notikušie pasākumi saņēmuši nominācijas Latvijas Televīzijas un Latvijas Radio gada balvā “Kilograms kultūras”, nominēti augstākajam Latvijas valsts apbalvojumam mūzikā - Lielajai Mūzikas balvai, tāpat, pateicoties SIA “Austrumlatvijas koncertzāle” norisēm Izcilības balvu kultūrā saņēmusi ērģelniece Iveta Apkalna.</w:t>
      </w:r>
    </w:p>
    <w:p w:rsidR="00B42FB6" w:rsidRPr="000B1C66" w:rsidRDefault="00B42FB6" w:rsidP="00B42FB6">
      <w:pPr>
        <w:pStyle w:val="Parasts1"/>
        <w:spacing w:line="276" w:lineRule="auto"/>
        <w:ind w:firstLine="720"/>
        <w:jc w:val="both"/>
        <w:outlineLvl w:val="0"/>
        <w:rPr>
          <w:sz w:val="22"/>
          <w:szCs w:val="23"/>
        </w:rPr>
      </w:pPr>
    </w:p>
    <w:p w:rsidR="00B42FB6" w:rsidRPr="000B1C66" w:rsidRDefault="00B42FB6" w:rsidP="00B42FB6">
      <w:pPr>
        <w:pStyle w:val="Parasts1"/>
        <w:spacing w:line="276" w:lineRule="auto"/>
        <w:jc w:val="both"/>
        <w:outlineLvl w:val="0"/>
        <w:rPr>
          <w:b/>
          <w:szCs w:val="23"/>
        </w:rPr>
      </w:pPr>
      <w:r w:rsidRPr="000B1C66">
        <w:rPr>
          <w:b/>
          <w:szCs w:val="23"/>
        </w:rPr>
        <w:t>Saimnieciskā darbība</w:t>
      </w:r>
    </w:p>
    <w:p w:rsidR="00B42FB6" w:rsidRPr="000B1C66" w:rsidRDefault="00B42FB6" w:rsidP="00B42FB6">
      <w:pPr>
        <w:pStyle w:val="Parasts1"/>
        <w:spacing w:line="276" w:lineRule="auto"/>
        <w:ind w:firstLine="720"/>
        <w:jc w:val="both"/>
        <w:rPr>
          <w:b/>
          <w:sz w:val="22"/>
          <w:szCs w:val="23"/>
        </w:rPr>
      </w:pPr>
      <w:proofErr w:type="gramStart"/>
      <w:r w:rsidRPr="000B1C66">
        <w:rPr>
          <w:sz w:val="22"/>
          <w:szCs w:val="23"/>
        </w:rPr>
        <w:t>2015.gadā</w:t>
      </w:r>
      <w:proofErr w:type="gramEnd"/>
      <w:r w:rsidRPr="000B1C66">
        <w:rPr>
          <w:sz w:val="22"/>
          <w:szCs w:val="23"/>
        </w:rPr>
        <w:t xml:space="preserve"> SIA “Austrumlatvijas koncertzāle” </w:t>
      </w:r>
      <w:r w:rsidRPr="000B1C66">
        <w:rPr>
          <w:b/>
          <w:sz w:val="22"/>
          <w:szCs w:val="23"/>
        </w:rPr>
        <w:t>ieņēmumi bija 1491.2 tūkst. EUR</w:t>
      </w:r>
      <w:proofErr w:type="gramStart"/>
      <w:r w:rsidRPr="000B1C66">
        <w:rPr>
          <w:sz w:val="22"/>
          <w:szCs w:val="23"/>
        </w:rPr>
        <w:t xml:space="preserve"> </w:t>
      </w:r>
      <w:r w:rsidRPr="000B1C66">
        <w:rPr>
          <w:b/>
          <w:sz w:val="22"/>
          <w:szCs w:val="23"/>
        </w:rPr>
        <w:t xml:space="preserve"> </w:t>
      </w:r>
      <w:proofErr w:type="gramEnd"/>
      <w:r w:rsidRPr="000B1C66">
        <w:rPr>
          <w:b/>
          <w:sz w:val="22"/>
          <w:szCs w:val="23"/>
        </w:rPr>
        <w:t xml:space="preserve">338.4 tūkst. EUR </w:t>
      </w:r>
      <w:r w:rsidRPr="000B1C66">
        <w:rPr>
          <w:sz w:val="22"/>
          <w:szCs w:val="23"/>
        </w:rPr>
        <w:t>veidoja</w:t>
      </w:r>
      <w:r w:rsidRPr="000B1C66">
        <w:rPr>
          <w:b/>
          <w:sz w:val="22"/>
          <w:szCs w:val="23"/>
        </w:rPr>
        <w:t xml:space="preserve"> biļešu tirdzniecības ieņēmumi</w:t>
      </w:r>
      <w:r w:rsidRPr="000B1C66">
        <w:rPr>
          <w:sz w:val="22"/>
          <w:szCs w:val="23"/>
        </w:rPr>
        <w:t>,</w:t>
      </w:r>
      <w:r w:rsidRPr="000B1C66">
        <w:rPr>
          <w:b/>
          <w:sz w:val="22"/>
          <w:szCs w:val="23"/>
        </w:rPr>
        <w:t xml:space="preserve"> 197.0 tūkst. EUR </w:t>
      </w:r>
      <w:r w:rsidRPr="000B1C66">
        <w:rPr>
          <w:sz w:val="22"/>
          <w:szCs w:val="23"/>
        </w:rPr>
        <w:t>veidoja</w:t>
      </w:r>
      <w:r w:rsidRPr="000B1C66">
        <w:rPr>
          <w:b/>
          <w:sz w:val="22"/>
          <w:szCs w:val="23"/>
        </w:rPr>
        <w:t xml:space="preserve"> </w:t>
      </w:r>
      <w:r w:rsidRPr="000B1C66">
        <w:rPr>
          <w:sz w:val="22"/>
          <w:szCs w:val="23"/>
        </w:rPr>
        <w:t>ieņēmumi no</w:t>
      </w:r>
      <w:r w:rsidRPr="000B1C66">
        <w:rPr>
          <w:b/>
          <w:sz w:val="22"/>
          <w:szCs w:val="23"/>
        </w:rPr>
        <w:t xml:space="preserve"> telpu nomas</w:t>
      </w:r>
      <w:r w:rsidRPr="000B1C66">
        <w:rPr>
          <w:sz w:val="22"/>
          <w:szCs w:val="23"/>
        </w:rPr>
        <w:t>. Pateicoties ieguldītajam darbam sadarbības veidošanā, piesaistīti</w:t>
      </w:r>
      <w:r w:rsidRPr="000B1C66">
        <w:rPr>
          <w:b/>
          <w:sz w:val="22"/>
          <w:szCs w:val="23"/>
        </w:rPr>
        <w:t xml:space="preserve"> </w:t>
      </w:r>
      <w:r>
        <w:rPr>
          <w:b/>
          <w:sz w:val="22"/>
          <w:szCs w:val="23"/>
        </w:rPr>
        <w:t xml:space="preserve">un apsaimniekoti </w:t>
      </w:r>
      <w:r w:rsidRPr="000B1C66">
        <w:rPr>
          <w:b/>
          <w:sz w:val="22"/>
          <w:szCs w:val="23"/>
        </w:rPr>
        <w:t>159.3 tūkst. EUR</w:t>
      </w:r>
      <w:proofErr w:type="gramStart"/>
      <w:r w:rsidRPr="000B1C66">
        <w:rPr>
          <w:b/>
          <w:sz w:val="22"/>
          <w:szCs w:val="23"/>
        </w:rPr>
        <w:t xml:space="preserve">  </w:t>
      </w:r>
      <w:proofErr w:type="gramEnd"/>
      <w:r w:rsidRPr="000B1C66">
        <w:rPr>
          <w:b/>
          <w:sz w:val="22"/>
          <w:szCs w:val="23"/>
        </w:rPr>
        <w:t>no Kultūras ministrijas profesionālās mākslas pieejamības nodrošināšanai</w:t>
      </w:r>
      <w:r w:rsidRPr="000B1C66">
        <w:rPr>
          <w:sz w:val="22"/>
          <w:szCs w:val="23"/>
        </w:rPr>
        <w:t xml:space="preserve"> (šādi līdzekļi 2013.gadā netika piešķirti), savukārt </w:t>
      </w:r>
      <w:r w:rsidRPr="000B1C66">
        <w:rPr>
          <w:b/>
          <w:sz w:val="22"/>
          <w:szCs w:val="23"/>
        </w:rPr>
        <w:t xml:space="preserve">projektu konkursos un citās aktivitātēs piesaistīti </w:t>
      </w:r>
      <w:r>
        <w:rPr>
          <w:b/>
          <w:sz w:val="22"/>
          <w:szCs w:val="23"/>
        </w:rPr>
        <w:t>35.3</w:t>
      </w:r>
      <w:r w:rsidRPr="000B1C66">
        <w:rPr>
          <w:b/>
          <w:sz w:val="22"/>
          <w:szCs w:val="23"/>
        </w:rPr>
        <w:t xml:space="preserve"> tūkst. EUR</w:t>
      </w:r>
      <w:r>
        <w:rPr>
          <w:b/>
          <w:sz w:val="22"/>
          <w:szCs w:val="23"/>
        </w:rPr>
        <w:t xml:space="preserve"> </w:t>
      </w:r>
      <w:proofErr w:type="gramStart"/>
      <w:r>
        <w:rPr>
          <w:b/>
          <w:sz w:val="22"/>
          <w:szCs w:val="23"/>
        </w:rPr>
        <w:t>(</w:t>
      </w:r>
      <w:proofErr w:type="gramEnd"/>
      <w:r>
        <w:rPr>
          <w:b/>
          <w:sz w:val="22"/>
          <w:szCs w:val="23"/>
        </w:rPr>
        <w:t>apsaimniekoti kopā ar atlikumu 45.8 tūkst. EUR)</w:t>
      </w:r>
      <w:r w:rsidRPr="000B1C66">
        <w:rPr>
          <w:b/>
          <w:sz w:val="22"/>
          <w:szCs w:val="23"/>
        </w:rPr>
        <w:t xml:space="preserve"> </w:t>
      </w:r>
      <w:r w:rsidRPr="000B1C66">
        <w:rPr>
          <w:sz w:val="22"/>
          <w:szCs w:val="23"/>
        </w:rPr>
        <w:t>(</w:t>
      </w:r>
      <w:proofErr w:type="gramStart"/>
      <w:r w:rsidRPr="000B1C66">
        <w:rPr>
          <w:sz w:val="22"/>
          <w:szCs w:val="23"/>
        </w:rPr>
        <w:t>Valsts Kultūrkapitāla fonds</w:t>
      </w:r>
      <w:proofErr w:type="gramEnd"/>
      <w:r w:rsidRPr="000B1C66">
        <w:rPr>
          <w:sz w:val="22"/>
          <w:szCs w:val="23"/>
        </w:rPr>
        <w:t xml:space="preserve">, Latgales kultūras programma, Latvijas Nacionālais kultūras centrs, Nordic-Baltic mobilitātes programma u.c.), Rēzeknes pilsētas domes dotācija </w:t>
      </w:r>
      <w:r w:rsidRPr="000B1C66">
        <w:rPr>
          <w:b/>
          <w:sz w:val="22"/>
          <w:szCs w:val="23"/>
        </w:rPr>
        <w:t>751287</w:t>
      </w:r>
      <w:r w:rsidRPr="000B1C66">
        <w:rPr>
          <w:sz w:val="22"/>
          <w:szCs w:val="23"/>
        </w:rPr>
        <w:t xml:space="preserve"> </w:t>
      </w:r>
      <w:r w:rsidRPr="000B1C66">
        <w:rPr>
          <w:b/>
          <w:sz w:val="22"/>
          <w:szCs w:val="23"/>
        </w:rPr>
        <w:t>EUR</w:t>
      </w:r>
      <w:r w:rsidRPr="000B1C66">
        <w:rPr>
          <w:sz w:val="22"/>
          <w:szCs w:val="23"/>
        </w:rPr>
        <w:t>.</w:t>
      </w:r>
    </w:p>
    <w:p w:rsidR="00B42FB6" w:rsidRPr="000B1C66" w:rsidRDefault="00B42FB6" w:rsidP="00B42FB6">
      <w:pPr>
        <w:pStyle w:val="Parasts1"/>
        <w:spacing w:line="276" w:lineRule="auto"/>
        <w:ind w:firstLine="720"/>
        <w:jc w:val="both"/>
        <w:rPr>
          <w:sz w:val="22"/>
          <w:szCs w:val="23"/>
        </w:rPr>
      </w:pPr>
      <w:r w:rsidRPr="000B1C66">
        <w:rPr>
          <w:sz w:val="22"/>
          <w:szCs w:val="23"/>
        </w:rPr>
        <w:t xml:space="preserve">Uzņēmuma vadība kā pozitīvu faktu min to, ka </w:t>
      </w:r>
      <w:proofErr w:type="gramStart"/>
      <w:r w:rsidRPr="000B1C66">
        <w:rPr>
          <w:b/>
          <w:sz w:val="22"/>
          <w:szCs w:val="23"/>
        </w:rPr>
        <w:t>2015.gadā</w:t>
      </w:r>
      <w:proofErr w:type="gramEnd"/>
      <w:r w:rsidRPr="000B1C66">
        <w:rPr>
          <w:b/>
          <w:sz w:val="22"/>
          <w:szCs w:val="23"/>
        </w:rPr>
        <w:t xml:space="preserve"> biļešu ieņēmumi GORS rīkotajiem nedotētajiem kultūras pasākumiem pilnībā sedza pasākuma mākslinieciskās izmaksas</w:t>
      </w:r>
      <w:r w:rsidRPr="000B1C66">
        <w:rPr>
          <w:sz w:val="22"/>
          <w:szCs w:val="23"/>
        </w:rPr>
        <w:t xml:space="preserve">. </w:t>
      </w:r>
    </w:p>
    <w:p w:rsidR="00B42FB6" w:rsidRPr="000B1C66" w:rsidRDefault="00B42FB6" w:rsidP="00B42FB6">
      <w:pPr>
        <w:pStyle w:val="Parasts1"/>
        <w:spacing w:line="276" w:lineRule="auto"/>
        <w:ind w:firstLine="720"/>
        <w:jc w:val="both"/>
        <w:rPr>
          <w:sz w:val="22"/>
          <w:szCs w:val="23"/>
        </w:rPr>
      </w:pPr>
      <w:proofErr w:type="gramStart"/>
      <w:r w:rsidRPr="000B1C66">
        <w:rPr>
          <w:sz w:val="22"/>
          <w:szCs w:val="23"/>
        </w:rPr>
        <w:t>2015.gada</w:t>
      </w:r>
      <w:proofErr w:type="gramEnd"/>
      <w:r w:rsidRPr="000B1C66">
        <w:rPr>
          <w:b/>
          <w:sz w:val="22"/>
          <w:szCs w:val="23"/>
        </w:rPr>
        <w:t xml:space="preserve"> izdevumi sasniedza 148</w:t>
      </w:r>
      <w:r>
        <w:rPr>
          <w:b/>
          <w:sz w:val="22"/>
          <w:szCs w:val="23"/>
        </w:rPr>
        <w:t>5</w:t>
      </w:r>
      <w:r w:rsidRPr="000B1C66">
        <w:rPr>
          <w:b/>
          <w:sz w:val="22"/>
          <w:szCs w:val="23"/>
        </w:rPr>
        <w:t>.</w:t>
      </w:r>
      <w:r>
        <w:rPr>
          <w:b/>
          <w:sz w:val="22"/>
          <w:szCs w:val="23"/>
        </w:rPr>
        <w:t>2</w:t>
      </w:r>
      <w:r w:rsidRPr="000B1C66">
        <w:rPr>
          <w:b/>
          <w:sz w:val="22"/>
          <w:szCs w:val="23"/>
        </w:rPr>
        <w:t xml:space="preserve"> tūkst. EUR</w:t>
      </w:r>
      <w:r w:rsidRPr="000B1C66">
        <w:rPr>
          <w:sz w:val="22"/>
          <w:szCs w:val="23"/>
        </w:rPr>
        <w:t xml:space="preserve">, no kuriem 63% novirzīti ēkas uzturēšanas izdevumu segšanai un pasākumu rīkošanas izmaksu segšanai. </w:t>
      </w:r>
    </w:p>
    <w:p w:rsidR="00B42FB6" w:rsidRPr="000B1C66" w:rsidRDefault="00B42FB6" w:rsidP="00B42FB6">
      <w:pPr>
        <w:pStyle w:val="Parasts1"/>
        <w:spacing w:line="276" w:lineRule="auto"/>
        <w:ind w:firstLine="720"/>
        <w:jc w:val="both"/>
        <w:outlineLvl w:val="0"/>
        <w:rPr>
          <w:b/>
          <w:sz w:val="22"/>
          <w:szCs w:val="23"/>
          <w:u w:val="single"/>
        </w:rPr>
      </w:pPr>
      <w:r w:rsidRPr="000B1C66">
        <w:rPr>
          <w:b/>
          <w:sz w:val="22"/>
          <w:szCs w:val="23"/>
          <w:u w:val="single"/>
        </w:rPr>
        <w:t xml:space="preserve">Līdz ar to </w:t>
      </w:r>
      <w:proofErr w:type="gramStart"/>
      <w:r w:rsidRPr="000B1C66">
        <w:rPr>
          <w:b/>
          <w:sz w:val="22"/>
          <w:szCs w:val="23"/>
          <w:u w:val="single"/>
        </w:rPr>
        <w:t>2015.gadu</w:t>
      </w:r>
      <w:proofErr w:type="gramEnd"/>
      <w:r w:rsidRPr="000B1C66">
        <w:rPr>
          <w:b/>
          <w:sz w:val="22"/>
          <w:szCs w:val="23"/>
          <w:u w:val="single"/>
        </w:rPr>
        <w:t xml:space="preserve"> uzņēmums nosl</w:t>
      </w:r>
      <w:r>
        <w:rPr>
          <w:b/>
          <w:sz w:val="22"/>
          <w:szCs w:val="23"/>
          <w:u w:val="single"/>
        </w:rPr>
        <w:t xml:space="preserve">ēdzis ar peļņu 6089 </w:t>
      </w:r>
      <w:r w:rsidRPr="000B1C66">
        <w:rPr>
          <w:b/>
          <w:sz w:val="22"/>
          <w:szCs w:val="23"/>
          <w:u w:val="single"/>
        </w:rPr>
        <w:t>EUR apmērā, kas novirzāma iepriekšējo gadu zaudējumu segšanai.</w:t>
      </w:r>
    </w:p>
    <w:p w:rsidR="00B42FB6" w:rsidRPr="000B1C66" w:rsidRDefault="00B42FB6" w:rsidP="00B42FB6">
      <w:pPr>
        <w:pStyle w:val="Parasts1"/>
        <w:spacing w:line="276" w:lineRule="auto"/>
        <w:ind w:firstLine="720"/>
        <w:jc w:val="both"/>
        <w:rPr>
          <w:sz w:val="22"/>
          <w:szCs w:val="23"/>
        </w:rPr>
      </w:pPr>
      <w:r w:rsidRPr="000B1C66">
        <w:rPr>
          <w:sz w:val="22"/>
          <w:szCs w:val="23"/>
        </w:rPr>
        <w:lastRenderedPageBreak/>
        <w:t xml:space="preserve">Vērtējot Austrumlatvijas reģionālā daudzfunkcionālā centra darbības stratēģijā noteikto, uzņēmumam, pateicoties veiksmīgai pasākumu realizācijai, pēc valdes ieskatiem maksimāli efektīvai saimnieciskajai darbībai, sadarbībai ar Kultūras ministriju un aktivitātei projektu konkursos, ir izdevies pārsniegt Austrumlatvijas reģionālā daudzfunkcionālā centra stratēģijā plānotos saimnieciskās darbības ieņēmumus, kā arī papildus piesaistīto līdzekļu apjomu. Turklāt ieņēmumu pieauguma intensitāte ir lielāka nekā izdevumu. Tikmēr pašvaldības dotācijas īpatsvars </w:t>
      </w:r>
      <w:proofErr w:type="gramStart"/>
      <w:r>
        <w:rPr>
          <w:sz w:val="22"/>
          <w:szCs w:val="23"/>
        </w:rPr>
        <w:t>2015.gadā</w:t>
      </w:r>
      <w:proofErr w:type="gramEnd"/>
      <w:r>
        <w:rPr>
          <w:sz w:val="22"/>
          <w:szCs w:val="23"/>
        </w:rPr>
        <w:t xml:space="preserve"> </w:t>
      </w:r>
      <w:r w:rsidRPr="000B1C66">
        <w:rPr>
          <w:sz w:val="22"/>
          <w:szCs w:val="23"/>
        </w:rPr>
        <w:t xml:space="preserve">veidoja 50.4 procentus. </w:t>
      </w:r>
    </w:p>
    <w:p w:rsidR="00B42FB6" w:rsidRPr="000B1C66" w:rsidRDefault="00B42FB6" w:rsidP="00B42FB6">
      <w:pPr>
        <w:pStyle w:val="Parasts1"/>
        <w:spacing w:line="276" w:lineRule="auto"/>
        <w:ind w:firstLine="720"/>
        <w:jc w:val="both"/>
        <w:outlineLvl w:val="0"/>
        <w:rPr>
          <w:sz w:val="22"/>
          <w:szCs w:val="23"/>
        </w:rPr>
      </w:pPr>
      <w:proofErr w:type="gramStart"/>
      <w:r w:rsidRPr="000B1C66">
        <w:rPr>
          <w:sz w:val="22"/>
          <w:szCs w:val="23"/>
        </w:rPr>
        <w:t>2015.gadā</w:t>
      </w:r>
      <w:proofErr w:type="gramEnd"/>
      <w:r w:rsidRPr="000B1C66">
        <w:rPr>
          <w:sz w:val="22"/>
          <w:szCs w:val="23"/>
        </w:rPr>
        <w:t xml:space="preserve"> uzlabojušies uzņēmuma likviditātes rādītāji, kas liecina, ka uzņēmums ir finansiāli stabils. </w:t>
      </w:r>
    </w:p>
    <w:p w:rsidR="00B42FB6" w:rsidRPr="000B1C66" w:rsidRDefault="00B42FB6" w:rsidP="00B42FB6">
      <w:pPr>
        <w:pStyle w:val="Parasts1"/>
        <w:spacing w:line="276" w:lineRule="auto"/>
        <w:ind w:firstLine="720"/>
        <w:jc w:val="both"/>
        <w:rPr>
          <w:sz w:val="22"/>
          <w:szCs w:val="23"/>
        </w:rPr>
      </w:pPr>
    </w:p>
    <w:p w:rsidR="00B42FB6" w:rsidRPr="000B1C66" w:rsidRDefault="00B42FB6" w:rsidP="00B42FB6">
      <w:pPr>
        <w:pStyle w:val="Parasts1"/>
        <w:spacing w:line="276" w:lineRule="auto"/>
        <w:rPr>
          <w:i/>
          <w:sz w:val="22"/>
          <w:szCs w:val="23"/>
          <w:shd w:val="clear" w:color="auto" w:fill="FFFFFF"/>
          <w:lang w:eastAsia="en-US"/>
        </w:rPr>
      </w:pPr>
      <w:r w:rsidRPr="000B1C66">
        <w:rPr>
          <w:i/>
          <w:sz w:val="22"/>
          <w:szCs w:val="23"/>
          <w:shd w:val="clear" w:color="auto" w:fill="FFFFFF"/>
          <w:lang w:eastAsia="en-US"/>
        </w:rPr>
        <w:t>Likviditātes rādītāji:</w:t>
      </w:r>
    </w:p>
    <w:tbl>
      <w:tblPr>
        <w:tblW w:w="9288" w:type="dxa"/>
        <w:tblLayout w:type="fixed"/>
        <w:tblCellMar>
          <w:left w:w="0" w:type="dxa"/>
          <w:right w:w="0" w:type="dxa"/>
        </w:tblCellMar>
        <w:tblLook w:val="0000" w:firstRow="0" w:lastRow="0" w:firstColumn="0" w:lastColumn="0" w:noHBand="0" w:noVBand="0"/>
      </w:tblPr>
      <w:tblGrid>
        <w:gridCol w:w="2904"/>
        <w:gridCol w:w="2902"/>
        <w:gridCol w:w="84"/>
        <w:gridCol w:w="152"/>
        <w:gridCol w:w="919"/>
        <w:gridCol w:w="1342"/>
        <w:gridCol w:w="985"/>
      </w:tblGrid>
      <w:tr w:rsidR="00B42FB6" w:rsidRPr="000B1C66" w:rsidTr="002B1469">
        <w:trPr>
          <w:cantSplit/>
          <w:trHeight w:val="315"/>
        </w:trPr>
        <w:tc>
          <w:tcPr>
            <w:tcW w:w="2904" w:type="dxa"/>
            <w:vMerge w:val="restart"/>
            <w:tcBorders>
              <w:top w:val="single" w:sz="4" w:space="0" w:color="000000"/>
              <w:left w:val="single" w:sz="4" w:space="0" w:color="000000"/>
              <w:bottom w:val="single" w:sz="4" w:space="0" w:color="000000"/>
              <w:right w:val="nil"/>
            </w:tcBorders>
            <w:tcMar>
              <w:top w:w="15" w:type="dxa"/>
              <w:left w:w="15" w:type="dxa"/>
              <w:bottom w:w="0" w:type="dxa"/>
              <w:right w:w="15" w:type="dxa"/>
            </w:tcMar>
            <w:vAlign w:val="bottom"/>
          </w:tcPr>
          <w:p w:rsidR="00B42FB6" w:rsidRPr="000B1C66" w:rsidRDefault="00B42FB6" w:rsidP="002B1469">
            <w:pPr>
              <w:pStyle w:val="Parasts1"/>
              <w:spacing w:line="276" w:lineRule="auto"/>
              <w:rPr>
                <w:rFonts w:eastAsia="Arial Unicode MS"/>
                <w:sz w:val="22"/>
                <w:szCs w:val="23"/>
                <w:lang w:eastAsia="en-US"/>
              </w:rPr>
            </w:pPr>
            <w:r w:rsidRPr="000B1C66">
              <w:rPr>
                <w:sz w:val="22"/>
                <w:szCs w:val="23"/>
                <w:lang w:eastAsia="en-US"/>
              </w:rPr>
              <w:t>Likviditātes seguma koeficients=</w:t>
            </w:r>
          </w:p>
        </w:tc>
        <w:tc>
          <w:tcPr>
            <w:tcW w:w="3138" w:type="dxa"/>
            <w:gridSpan w:val="3"/>
            <w:tcBorders>
              <w:top w:val="single" w:sz="4" w:space="0" w:color="000000"/>
              <w:left w:val="nil"/>
              <w:bottom w:val="single" w:sz="4" w:space="0" w:color="000000"/>
              <w:right w:val="nil"/>
            </w:tcBorders>
            <w:noWrap/>
            <w:tcMar>
              <w:top w:w="15" w:type="dxa"/>
              <w:left w:w="15" w:type="dxa"/>
              <w:bottom w:w="0" w:type="dxa"/>
              <w:right w:w="15" w:type="dxa"/>
            </w:tcMar>
            <w:vAlign w:val="bottom"/>
          </w:tcPr>
          <w:p w:rsidR="00B42FB6" w:rsidRPr="000B1C66" w:rsidRDefault="00B42FB6" w:rsidP="002B1469">
            <w:pPr>
              <w:pStyle w:val="Parasts1"/>
              <w:spacing w:line="276" w:lineRule="auto"/>
              <w:rPr>
                <w:rFonts w:eastAsia="Arial Unicode MS"/>
                <w:sz w:val="22"/>
                <w:szCs w:val="23"/>
                <w:lang w:eastAsia="en-US"/>
              </w:rPr>
            </w:pPr>
            <w:r w:rsidRPr="000B1C66">
              <w:rPr>
                <w:sz w:val="22"/>
                <w:szCs w:val="23"/>
                <w:lang w:eastAsia="en-US"/>
              </w:rPr>
              <w:t>debitori+nauda+īst.vērtspapīri</w:t>
            </w:r>
          </w:p>
        </w:tc>
        <w:tc>
          <w:tcPr>
            <w:tcW w:w="919" w:type="dxa"/>
            <w:vMerge w:val="restart"/>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rsidR="00B42FB6" w:rsidRPr="000B1C66" w:rsidRDefault="00B42FB6" w:rsidP="002B1469">
            <w:pPr>
              <w:pStyle w:val="Parasts1"/>
              <w:spacing w:line="276" w:lineRule="auto"/>
              <w:jc w:val="center"/>
              <w:rPr>
                <w:rFonts w:eastAsia="Arial Unicode MS"/>
                <w:sz w:val="22"/>
                <w:szCs w:val="23"/>
                <w:lang w:eastAsia="en-US"/>
              </w:rPr>
            </w:pPr>
            <w:r w:rsidRPr="000B1C66">
              <w:rPr>
                <w:sz w:val="22"/>
                <w:szCs w:val="23"/>
                <w:lang w:eastAsia="en-US"/>
              </w:rPr>
              <w:t> </w:t>
            </w:r>
          </w:p>
        </w:tc>
        <w:tc>
          <w:tcPr>
            <w:tcW w:w="1342" w:type="dxa"/>
            <w:tcBorders>
              <w:top w:val="nil"/>
              <w:left w:val="nil"/>
              <w:bottom w:val="nil"/>
              <w:right w:val="nil"/>
            </w:tcBorders>
            <w:noWrap/>
            <w:tcMar>
              <w:top w:w="15" w:type="dxa"/>
              <w:left w:w="15" w:type="dxa"/>
              <w:bottom w:w="0" w:type="dxa"/>
              <w:right w:w="15" w:type="dxa"/>
            </w:tcMar>
            <w:vAlign w:val="bottom"/>
          </w:tcPr>
          <w:p w:rsidR="00B42FB6" w:rsidRPr="000B1C66" w:rsidRDefault="00B42FB6" w:rsidP="002B1469">
            <w:pPr>
              <w:pStyle w:val="Parasts1"/>
              <w:spacing w:line="276" w:lineRule="auto"/>
              <w:rPr>
                <w:rFonts w:eastAsia="Arial Unicode MS"/>
                <w:sz w:val="22"/>
                <w:szCs w:val="23"/>
                <w:lang w:eastAsia="en-US"/>
              </w:rPr>
            </w:pPr>
          </w:p>
        </w:tc>
        <w:tc>
          <w:tcPr>
            <w:tcW w:w="985" w:type="dxa"/>
            <w:tcBorders>
              <w:top w:val="nil"/>
              <w:left w:val="nil"/>
              <w:bottom w:val="nil"/>
              <w:right w:val="nil"/>
            </w:tcBorders>
            <w:noWrap/>
            <w:tcMar>
              <w:top w:w="15" w:type="dxa"/>
              <w:left w:w="15" w:type="dxa"/>
              <w:bottom w:w="0" w:type="dxa"/>
              <w:right w:w="15" w:type="dxa"/>
            </w:tcMar>
            <w:vAlign w:val="bottom"/>
          </w:tcPr>
          <w:p w:rsidR="00B42FB6" w:rsidRPr="000B1C66" w:rsidRDefault="00B42FB6" w:rsidP="002B1469">
            <w:pPr>
              <w:pStyle w:val="Parasts1"/>
              <w:spacing w:line="276" w:lineRule="auto"/>
              <w:rPr>
                <w:rFonts w:eastAsia="Arial Unicode MS"/>
                <w:sz w:val="22"/>
                <w:szCs w:val="23"/>
                <w:lang w:eastAsia="en-US"/>
              </w:rPr>
            </w:pPr>
          </w:p>
        </w:tc>
      </w:tr>
      <w:tr w:rsidR="00B42FB6" w:rsidRPr="000B1C66" w:rsidTr="002B1469">
        <w:trPr>
          <w:cantSplit/>
          <w:trHeight w:val="255"/>
        </w:trPr>
        <w:tc>
          <w:tcPr>
            <w:tcW w:w="2904" w:type="dxa"/>
            <w:vMerge/>
            <w:tcBorders>
              <w:top w:val="single" w:sz="4" w:space="0" w:color="000000"/>
              <w:left w:val="single" w:sz="4" w:space="0" w:color="000000"/>
              <w:bottom w:val="single" w:sz="4" w:space="0" w:color="000000"/>
              <w:right w:val="nil"/>
            </w:tcBorders>
            <w:vAlign w:val="center"/>
          </w:tcPr>
          <w:p w:rsidR="00B42FB6" w:rsidRPr="000B1C66" w:rsidRDefault="00B42FB6" w:rsidP="002B1469">
            <w:pPr>
              <w:pStyle w:val="Parasts1"/>
              <w:spacing w:line="276" w:lineRule="auto"/>
              <w:rPr>
                <w:rFonts w:eastAsia="Arial Unicode MS"/>
                <w:sz w:val="22"/>
                <w:szCs w:val="23"/>
                <w:lang w:eastAsia="en-US"/>
              </w:rPr>
            </w:pPr>
          </w:p>
        </w:tc>
        <w:tc>
          <w:tcPr>
            <w:tcW w:w="2902" w:type="dxa"/>
            <w:tcBorders>
              <w:top w:val="nil"/>
              <w:left w:val="nil"/>
              <w:bottom w:val="single" w:sz="4" w:space="0" w:color="000000"/>
              <w:right w:val="nil"/>
            </w:tcBorders>
            <w:noWrap/>
            <w:tcMar>
              <w:top w:w="15" w:type="dxa"/>
              <w:left w:w="15" w:type="dxa"/>
              <w:bottom w:w="0" w:type="dxa"/>
              <w:right w:w="15" w:type="dxa"/>
            </w:tcMar>
            <w:vAlign w:val="bottom"/>
          </w:tcPr>
          <w:p w:rsidR="00B42FB6" w:rsidRPr="000B1C66" w:rsidRDefault="00B42FB6" w:rsidP="002B1469">
            <w:pPr>
              <w:pStyle w:val="Parasts1"/>
              <w:spacing w:line="276" w:lineRule="auto"/>
              <w:rPr>
                <w:rFonts w:eastAsia="Arial Unicode MS"/>
                <w:sz w:val="22"/>
                <w:szCs w:val="23"/>
                <w:lang w:eastAsia="en-US"/>
              </w:rPr>
            </w:pPr>
            <w:r w:rsidRPr="000B1C66">
              <w:rPr>
                <w:sz w:val="22"/>
                <w:szCs w:val="23"/>
                <w:lang w:eastAsia="en-US"/>
              </w:rPr>
              <w:t>Īstermiņa saistības</w:t>
            </w:r>
          </w:p>
        </w:tc>
        <w:tc>
          <w:tcPr>
            <w:tcW w:w="84" w:type="dxa"/>
            <w:tcBorders>
              <w:top w:val="nil"/>
              <w:left w:val="nil"/>
              <w:bottom w:val="single" w:sz="4" w:space="0" w:color="000000"/>
              <w:right w:val="nil"/>
            </w:tcBorders>
            <w:noWrap/>
            <w:tcMar>
              <w:top w:w="15" w:type="dxa"/>
              <w:left w:w="15" w:type="dxa"/>
              <w:bottom w:w="0" w:type="dxa"/>
              <w:right w:w="15" w:type="dxa"/>
            </w:tcMar>
            <w:vAlign w:val="bottom"/>
          </w:tcPr>
          <w:p w:rsidR="00B42FB6" w:rsidRPr="000B1C66" w:rsidRDefault="00B42FB6" w:rsidP="002B1469">
            <w:pPr>
              <w:pStyle w:val="Parasts1"/>
              <w:spacing w:line="276" w:lineRule="auto"/>
              <w:rPr>
                <w:rFonts w:eastAsia="Arial Unicode MS"/>
                <w:sz w:val="22"/>
                <w:szCs w:val="23"/>
                <w:lang w:eastAsia="en-US"/>
              </w:rPr>
            </w:pPr>
            <w:r w:rsidRPr="000B1C66">
              <w:rPr>
                <w:sz w:val="22"/>
                <w:szCs w:val="23"/>
                <w:lang w:eastAsia="en-US"/>
              </w:rPr>
              <w:t> </w:t>
            </w:r>
          </w:p>
        </w:tc>
        <w:tc>
          <w:tcPr>
            <w:tcW w:w="152" w:type="dxa"/>
            <w:tcBorders>
              <w:top w:val="nil"/>
              <w:left w:val="nil"/>
              <w:bottom w:val="single" w:sz="4" w:space="0" w:color="000000"/>
              <w:right w:val="nil"/>
            </w:tcBorders>
            <w:noWrap/>
            <w:tcMar>
              <w:top w:w="15" w:type="dxa"/>
              <w:left w:w="15" w:type="dxa"/>
              <w:bottom w:w="0" w:type="dxa"/>
              <w:right w:w="15" w:type="dxa"/>
            </w:tcMar>
            <w:vAlign w:val="bottom"/>
          </w:tcPr>
          <w:p w:rsidR="00B42FB6" w:rsidRPr="000B1C66" w:rsidRDefault="00B42FB6" w:rsidP="002B1469">
            <w:pPr>
              <w:pStyle w:val="Parasts1"/>
              <w:spacing w:line="276" w:lineRule="auto"/>
              <w:rPr>
                <w:rFonts w:eastAsia="Arial Unicode MS"/>
                <w:sz w:val="22"/>
                <w:szCs w:val="23"/>
                <w:lang w:eastAsia="en-US"/>
              </w:rPr>
            </w:pPr>
            <w:r w:rsidRPr="000B1C66">
              <w:rPr>
                <w:sz w:val="22"/>
                <w:szCs w:val="23"/>
                <w:lang w:eastAsia="en-US"/>
              </w:rPr>
              <w:t> </w:t>
            </w:r>
          </w:p>
        </w:tc>
        <w:tc>
          <w:tcPr>
            <w:tcW w:w="919" w:type="dxa"/>
            <w:vMerge/>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B42FB6" w:rsidRPr="000B1C66" w:rsidRDefault="00B42FB6" w:rsidP="002B1469">
            <w:pPr>
              <w:pStyle w:val="Parasts1"/>
              <w:spacing w:line="276" w:lineRule="auto"/>
              <w:rPr>
                <w:rFonts w:eastAsia="Arial Unicode MS"/>
                <w:sz w:val="22"/>
                <w:szCs w:val="23"/>
                <w:lang w:eastAsia="en-US"/>
              </w:rPr>
            </w:pPr>
          </w:p>
        </w:tc>
        <w:tc>
          <w:tcPr>
            <w:tcW w:w="1342" w:type="dxa"/>
            <w:tcBorders>
              <w:top w:val="nil"/>
              <w:left w:val="nil"/>
              <w:bottom w:val="nil"/>
              <w:right w:val="nil"/>
            </w:tcBorders>
            <w:noWrap/>
            <w:tcMar>
              <w:top w:w="15" w:type="dxa"/>
              <w:left w:w="15" w:type="dxa"/>
              <w:bottom w:w="0" w:type="dxa"/>
              <w:right w:w="15" w:type="dxa"/>
            </w:tcMar>
            <w:vAlign w:val="bottom"/>
          </w:tcPr>
          <w:p w:rsidR="00B42FB6" w:rsidRPr="000B1C66" w:rsidRDefault="00B42FB6" w:rsidP="002B1469">
            <w:pPr>
              <w:pStyle w:val="Parasts1"/>
              <w:spacing w:line="276" w:lineRule="auto"/>
              <w:rPr>
                <w:rFonts w:eastAsia="Arial Unicode MS"/>
                <w:sz w:val="22"/>
                <w:szCs w:val="23"/>
                <w:lang w:eastAsia="en-US"/>
              </w:rPr>
            </w:pPr>
          </w:p>
        </w:tc>
        <w:tc>
          <w:tcPr>
            <w:tcW w:w="985" w:type="dxa"/>
            <w:tcBorders>
              <w:top w:val="nil"/>
              <w:left w:val="nil"/>
              <w:bottom w:val="nil"/>
              <w:right w:val="nil"/>
            </w:tcBorders>
            <w:noWrap/>
            <w:tcMar>
              <w:top w:w="15" w:type="dxa"/>
              <w:left w:w="15" w:type="dxa"/>
              <w:bottom w:w="0" w:type="dxa"/>
              <w:right w:w="15" w:type="dxa"/>
            </w:tcMar>
            <w:vAlign w:val="bottom"/>
          </w:tcPr>
          <w:p w:rsidR="00B42FB6" w:rsidRPr="000B1C66" w:rsidRDefault="00B42FB6" w:rsidP="002B1469">
            <w:pPr>
              <w:pStyle w:val="Parasts1"/>
              <w:spacing w:line="276" w:lineRule="auto"/>
              <w:rPr>
                <w:rFonts w:eastAsia="Arial Unicode MS"/>
                <w:sz w:val="22"/>
                <w:szCs w:val="23"/>
                <w:lang w:eastAsia="en-US"/>
              </w:rPr>
            </w:pPr>
          </w:p>
        </w:tc>
      </w:tr>
      <w:tr w:rsidR="00B42FB6" w:rsidRPr="000B1C66" w:rsidTr="002B1469">
        <w:trPr>
          <w:cantSplit/>
          <w:trHeight w:val="255"/>
        </w:trPr>
        <w:tc>
          <w:tcPr>
            <w:tcW w:w="2904" w:type="dxa"/>
            <w:vMerge w:val="restart"/>
            <w:tcBorders>
              <w:top w:val="single" w:sz="4" w:space="0" w:color="000000"/>
              <w:left w:val="single" w:sz="4" w:space="0" w:color="000000"/>
              <w:bottom w:val="single" w:sz="4" w:space="0" w:color="000000"/>
              <w:right w:val="nil"/>
            </w:tcBorders>
            <w:noWrap/>
            <w:tcMar>
              <w:top w:w="15" w:type="dxa"/>
              <w:left w:w="15" w:type="dxa"/>
              <w:bottom w:w="0" w:type="dxa"/>
              <w:right w:w="15" w:type="dxa"/>
            </w:tcMar>
            <w:vAlign w:val="bottom"/>
          </w:tcPr>
          <w:p w:rsidR="00B42FB6" w:rsidRPr="000B1C66" w:rsidRDefault="00B42FB6" w:rsidP="002B1469">
            <w:pPr>
              <w:pStyle w:val="Parasts1"/>
              <w:spacing w:line="276" w:lineRule="auto"/>
              <w:rPr>
                <w:rFonts w:eastAsia="Arial Unicode MS"/>
                <w:sz w:val="22"/>
                <w:szCs w:val="23"/>
                <w:lang w:eastAsia="en-US"/>
              </w:rPr>
            </w:pPr>
            <w:r w:rsidRPr="000B1C66">
              <w:rPr>
                <w:sz w:val="22"/>
                <w:szCs w:val="23"/>
                <w:lang w:eastAsia="en-US"/>
              </w:rPr>
              <w:t>Kopējais likviditātes seguma koef.=</w:t>
            </w:r>
          </w:p>
        </w:tc>
        <w:tc>
          <w:tcPr>
            <w:tcW w:w="2986" w:type="dxa"/>
            <w:gridSpan w:val="2"/>
            <w:tcBorders>
              <w:top w:val="single" w:sz="4" w:space="0" w:color="000000"/>
              <w:left w:val="nil"/>
              <w:bottom w:val="single" w:sz="4" w:space="0" w:color="000000"/>
              <w:right w:val="nil"/>
            </w:tcBorders>
            <w:noWrap/>
            <w:tcMar>
              <w:top w:w="15" w:type="dxa"/>
              <w:left w:w="15" w:type="dxa"/>
              <w:bottom w:w="0" w:type="dxa"/>
              <w:right w:w="15" w:type="dxa"/>
            </w:tcMar>
            <w:vAlign w:val="bottom"/>
          </w:tcPr>
          <w:p w:rsidR="00B42FB6" w:rsidRPr="000B1C66" w:rsidRDefault="00B42FB6" w:rsidP="002B1469">
            <w:pPr>
              <w:pStyle w:val="Parasts1"/>
              <w:spacing w:line="276" w:lineRule="auto"/>
              <w:rPr>
                <w:rFonts w:eastAsia="Arial Unicode MS"/>
                <w:sz w:val="22"/>
                <w:szCs w:val="23"/>
                <w:lang w:eastAsia="en-US"/>
              </w:rPr>
            </w:pPr>
            <w:r w:rsidRPr="000B1C66">
              <w:rPr>
                <w:sz w:val="22"/>
                <w:szCs w:val="23"/>
                <w:lang w:eastAsia="en-US"/>
              </w:rPr>
              <w:t>Apgrozāmie līdzekļi</w:t>
            </w:r>
          </w:p>
        </w:tc>
        <w:tc>
          <w:tcPr>
            <w:tcW w:w="152" w:type="dxa"/>
            <w:tcBorders>
              <w:top w:val="single" w:sz="4" w:space="0" w:color="000000"/>
              <w:left w:val="nil"/>
              <w:bottom w:val="single" w:sz="4" w:space="0" w:color="000000"/>
              <w:right w:val="nil"/>
            </w:tcBorders>
            <w:noWrap/>
            <w:tcMar>
              <w:top w:w="15" w:type="dxa"/>
              <w:left w:w="15" w:type="dxa"/>
              <w:bottom w:w="0" w:type="dxa"/>
              <w:right w:w="15" w:type="dxa"/>
            </w:tcMar>
            <w:vAlign w:val="bottom"/>
          </w:tcPr>
          <w:p w:rsidR="00B42FB6" w:rsidRPr="000B1C66" w:rsidRDefault="00B42FB6" w:rsidP="002B1469">
            <w:pPr>
              <w:pStyle w:val="Parasts1"/>
              <w:spacing w:line="276" w:lineRule="auto"/>
              <w:rPr>
                <w:rFonts w:eastAsia="Arial Unicode MS"/>
                <w:sz w:val="22"/>
                <w:szCs w:val="23"/>
                <w:lang w:eastAsia="en-US"/>
              </w:rPr>
            </w:pPr>
            <w:r w:rsidRPr="000B1C66">
              <w:rPr>
                <w:sz w:val="22"/>
                <w:szCs w:val="23"/>
                <w:lang w:eastAsia="en-US"/>
              </w:rPr>
              <w:t> </w:t>
            </w:r>
          </w:p>
        </w:tc>
        <w:tc>
          <w:tcPr>
            <w:tcW w:w="919" w:type="dxa"/>
            <w:vMerge w:val="restart"/>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rsidR="00B42FB6" w:rsidRPr="000B1C66" w:rsidRDefault="00B42FB6" w:rsidP="002B1469">
            <w:pPr>
              <w:pStyle w:val="Parasts1"/>
              <w:spacing w:line="276" w:lineRule="auto"/>
              <w:jc w:val="center"/>
              <w:rPr>
                <w:rFonts w:eastAsia="Arial Unicode MS"/>
                <w:sz w:val="22"/>
                <w:szCs w:val="23"/>
                <w:lang w:eastAsia="en-US"/>
              </w:rPr>
            </w:pPr>
            <w:r w:rsidRPr="000B1C66">
              <w:rPr>
                <w:sz w:val="22"/>
                <w:szCs w:val="23"/>
                <w:lang w:eastAsia="en-US"/>
              </w:rPr>
              <w:t> </w:t>
            </w:r>
          </w:p>
        </w:tc>
        <w:tc>
          <w:tcPr>
            <w:tcW w:w="1342" w:type="dxa"/>
            <w:tcBorders>
              <w:top w:val="nil"/>
              <w:left w:val="nil"/>
              <w:bottom w:val="nil"/>
              <w:right w:val="nil"/>
            </w:tcBorders>
            <w:noWrap/>
            <w:tcMar>
              <w:top w:w="15" w:type="dxa"/>
              <w:left w:w="15" w:type="dxa"/>
              <w:bottom w:w="0" w:type="dxa"/>
              <w:right w:w="15" w:type="dxa"/>
            </w:tcMar>
            <w:vAlign w:val="bottom"/>
          </w:tcPr>
          <w:p w:rsidR="00B42FB6" w:rsidRPr="000B1C66" w:rsidRDefault="00B42FB6" w:rsidP="002B1469">
            <w:pPr>
              <w:pStyle w:val="Parasts1"/>
              <w:spacing w:line="276" w:lineRule="auto"/>
              <w:rPr>
                <w:rFonts w:eastAsia="Arial Unicode MS"/>
                <w:sz w:val="22"/>
                <w:szCs w:val="23"/>
                <w:lang w:eastAsia="en-US"/>
              </w:rPr>
            </w:pPr>
          </w:p>
        </w:tc>
        <w:tc>
          <w:tcPr>
            <w:tcW w:w="985" w:type="dxa"/>
            <w:tcBorders>
              <w:top w:val="nil"/>
              <w:left w:val="nil"/>
              <w:bottom w:val="nil"/>
              <w:right w:val="nil"/>
            </w:tcBorders>
            <w:noWrap/>
            <w:tcMar>
              <w:top w:w="15" w:type="dxa"/>
              <w:left w:w="15" w:type="dxa"/>
              <w:bottom w:w="0" w:type="dxa"/>
              <w:right w:w="15" w:type="dxa"/>
            </w:tcMar>
            <w:vAlign w:val="bottom"/>
          </w:tcPr>
          <w:p w:rsidR="00B42FB6" w:rsidRPr="000B1C66" w:rsidRDefault="00B42FB6" w:rsidP="002B1469">
            <w:pPr>
              <w:pStyle w:val="Parasts1"/>
              <w:spacing w:line="276" w:lineRule="auto"/>
              <w:rPr>
                <w:rFonts w:eastAsia="Arial Unicode MS"/>
                <w:sz w:val="22"/>
                <w:szCs w:val="23"/>
                <w:lang w:eastAsia="en-US"/>
              </w:rPr>
            </w:pPr>
          </w:p>
        </w:tc>
      </w:tr>
      <w:tr w:rsidR="00B42FB6" w:rsidRPr="000B1C66" w:rsidTr="002B1469">
        <w:trPr>
          <w:cantSplit/>
          <w:trHeight w:val="255"/>
        </w:trPr>
        <w:tc>
          <w:tcPr>
            <w:tcW w:w="2904" w:type="dxa"/>
            <w:vMerge/>
            <w:tcBorders>
              <w:top w:val="single" w:sz="4" w:space="0" w:color="000000"/>
              <w:left w:val="single" w:sz="4" w:space="0" w:color="000000"/>
              <w:bottom w:val="single" w:sz="4" w:space="0" w:color="000000"/>
              <w:right w:val="nil"/>
            </w:tcBorders>
            <w:vAlign w:val="center"/>
          </w:tcPr>
          <w:p w:rsidR="00B42FB6" w:rsidRPr="000B1C66" w:rsidRDefault="00B42FB6" w:rsidP="002B1469">
            <w:pPr>
              <w:pStyle w:val="Parasts1"/>
              <w:spacing w:line="276" w:lineRule="auto"/>
              <w:rPr>
                <w:rFonts w:eastAsia="Arial Unicode MS"/>
                <w:sz w:val="22"/>
                <w:szCs w:val="23"/>
                <w:lang w:eastAsia="en-US"/>
              </w:rPr>
            </w:pPr>
          </w:p>
        </w:tc>
        <w:tc>
          <w:tcPr>
            <w:tcW w:w="2986" w:type="dxa"/>
            <w:gridSpan w:val="2"/>
            <w:tcBorders>
              <w:top w:val="nil"/>
              <w:left w:val="nil"/>
              <w:bottom w:val="single" w:sz="4" w:space="0" w:color="000000"/>
              <w:right w:val="nil"/>
            </w:tcBorders>
            <w:noWrap/>
            <w:tcMar>
              <w:top w:w="15" w:type="dxa"/>
              <w:left w:w="15" w:type="dxa"/>
              <w:bottom w:w="0" w:type="dxa"/>
              <w:right w:w="15" w:type="dxa"/>
            </w:tcMar>
            <w:vAlign w:val="bottom"/>
          </w:tcPr>
          <w:p w:rsidR="00B42FB6" w:rsidRPr="000B1C66" w:rsidRDefault="00B42FB6" w:rsidP="002B1469">
            <w:pPr>
              <w:pStyle w:val="Parasts1"/>
              <w:spacing w:line="276" w:lineRule="auto"/>
              <w:rPr>
                <w:rFonts w:eastAsia="Arial Unicode MS"/>
                <w:sz w:val="22"/>
                <w:szCs w:val="23"/>
                <w:lang w:eastAsia="en-US"/>
              </w:rPr>
            </w:pPr>
            <w:r w:rsidRPr="000B1C66">
              <w:rPr>
                <w:sz w:val="22"/>
                <w:szCs w:val="23"/>
                <w:lang w:eastAsia="en-US"/>
              </w:rPr>
              <w:t>Īstermiņa saistības</w:t>
            </w:r>
          </w:p>
        </w:tc>
        <w:tc>
          <w:tcPr>
            <w:tcW w:w="152" w:type="dxa"/>
            <w:tcBorders>
              <w:top w:val="nil"/>
              <w:left w:val="nil"/>
              <w:bottom w:val="single" w:sz="4" w:space="0" w:color="000000"/>
              <w:right w:val="nil"/>
            </w:tcBorders>
            <w:noWrap/>
            <w:tcMar>
              <w:top w:w="15" w:type="dxa"/>
              <w:left w:w="15" w:type="dxa"/>
              <w:bottom w:w="0" w:type="dxa"/>
              <w:right w:w="15" w:type="dxa"/>
            </w:tcMar>
            <w:vAlign w:val="bottom"/>
          </w:tcPr>
          <w:p w:rsidR="00B42FB6" w:rsidRPr="000B1C66" w:rsidRDefault="00B42FB6" w:rsidP="002B1469">
            <w:pPr>
              <w:pStyle w:val="Parasts1"/>
              <w:spacing w:line="276" w:lineRule="auto"/>
              <w:rPr>
                <w:rFonts w:eastAsia="Arial Unicode MS"/>
                <w:sz w:val="22"/>
                <w:szCs w:val="23"/>
                <w:lang w:eastAsia="en-US"/>
              </w:rPr>
            </w:pPr>
            <w:r w:rsidRPr="000B1C66">
              <w:rPr>
                <w:sz w:val="22"/>
                <w:szCs w:val="23"/>
                <w:lang w:eastAsia="en-US"/>
              </w:rPr>
              <w:t> </w:t>
            </w:r>
          </w:p>
        </w:tc>
        <w:tc>
          <w:tcPr>
            <w:tcW w:w="919" w:type="dxa"/>
            <w:vMerge/>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B42FB6" w:rsidRPr="000B1C66" w:rsidRDefault="00B42FB6" w:rsidP="002B1469">
            <w:pPr>
              <w:pStyle w:val="Parasts1"/>
              <w:spacing w:line="276" w:lineRule="auto"/>
              <w:rPr>
                <w:rFonts w:eastAsia="Arial Unicode MS"/>
                <w:sz w:val="22"/>
                <w:szCs w:val="23"/>
                <w:lang w:eastAsia="en-US"/>
              </w:rPr>
            </w:pPr>
          </w:p>
        </w:tc>
        <w:tc>
          <w:tcPr>
            <w:tcW w:w="1342" w:type="dxa"/>
            <w:tcBorders>
              <w:top w:val="nil"/>
              <w:left w:val="nil"/>
              <w:bottom w:val="nil"/>
              <w:right w:val="nil"/>
            </w:tcBorders>
            <w:noWrap/>
            <w:tcMar>
              <w:top w:w="15" w:type="dxa"/>
              <w:left w:w="15" w:type="dxa"/>
              <w:bottom w:w="0" w:type="dxa"/>
              <w:right w:w="15" w:type="dxa"/>
            </w:tcMar>
            <w:vAlign w:val="bottom"/>
          </w:tcPr>
          <w:p w:rsidR="00B42FB6" w:rsidRPr="000B1C66" w:rsidRDefault="00B42FB6" w:rsidP="002B1469">
            <w:pPr>
              <w:pStyle w:val="Parasts1"/>
              <w:spacing w:line="276" w:lineRule="auto"/>
              <w:rPr>
                <w:rFonts w:eastAsia="Arial Unicode MS"/>
                <w:sz w:val="22"/>
                <w:szCs w:val="23"/>
                <w:lang w:eastAsia="en-US"/>
              </w:rPr>
            </w:pPr>
          </w:p>
        </w:tc>
        <w:tc>
          <w:tcPr>
            <w:tcW w:w="985" w:type="dxa"/>
            <w:tcBorders>
              <w:top w:val="nil"/>
              <w:left w:val="nil"/>
              <w:bottom w:val="nil"/>
              <w:right w:val="nil"/>
            </w:tcBorders>
            <w:noWrap/>
            <w:tcMar>
              <w:top w:w="15" w:type="dxa"/>
              <w:left w:w="15" w:type="dxa"/>
              <w:bottom w:w="0" w:type="dxa"/>
              <w:right w:w="15" w:type="dxa"/>
            </w:tcMar>
            <w:vAlign w:val="bottom"/>
          </w:tcPr>
          <w:p w:rsidR="00B42FB6" w:rsidRPr="000B1C66" w:rsidRDefault="00B42FB6" w:rsidP="002B1469">
            <w:pPr>
              <w:pStyle w:val="Parasts1"/>
              <w:spacing w:line="276" w:lineRule="auto"/>
              <w:rPr>
                <w:rFonts w:eastAsia="Arial Unicode MS"/>
                <w:sz w:val="22"/>
                <w:szCs w:val="23"/>
                <w:lang w:eastAsia="en-US"/>
              </w:rPr>
            </w:pPr>
          </w:p>
        </w:tc>
      </w:tr>
      <w:tr w:rsidR="00B42FB6" w:rsidRPr="000B1C66" w:rsidTr="002B1469">
        <w:trPr>
          <w:cantSplit/>
          <w:trHeight w:val="420"/>
        </w:trPr>
        <w:tc>
          <w:tcPr>
            <w:tcW w:w="2904" w:type="dxa"/>
            <w:vMerge w:val="restart"/>
            <w:tcBorders>
              <w:top w:val="nil"/>
              <w:left w:val="nil"/>
              <w:bottom w:val="nil"/>
              <w:right w:val="nil"/>
            </w:tcBorders>
            <w:tcMar>
              <w:top w:w="15" w:type="dxa"/>
              <w:left w:w="15" w:type="dxa"/>
              <w:bottom w:w="0" w:type="dxa"/>
              <w:right w:w="15" w:type="dxa"/>
            </w:tcMar>
            <w:vAlign w:val="bottom"/>
          </w:tcPr>
          <w:p w:rsidR="00B42FB6" w:rsidRPr="000B1C66" w:rsidRDefault="00B42FB6" w:rsidP="002B1469">
            <w:pPr>
              <w:pStyle w:val="Parasts1"/>
              <w:spacing w:line="276" w:lineRule="auto"/>
              <w:rPr>
                <w:rFonts w:eastAsia="Arial Unicode MS"/>
                <w:sz w:val="22"/>
                <w:szCs w:val="23"/>
                <w:lang w:eastAsia="en-US"/>
              </w:rPr>
            </w:pPr>
            <w:r w:rsidRPr="000B1C66">
              <w:rPr>
                <w:sz w:val="22"/>
                <w:szCs w:val="23"/>
                <w:lang w:eastAsia="en-US"/>
              </w:rPr>
              <w:t>Likvi</w:t>
            </w:r>
            <w:r>
              <w:rPr>
                <w:sz w:val="22"/>
                <w:szCs w:val="23"/>
                <w:lang w:eastAsia="en-US"/>
              </w:rPr>
              <w:t>ditātes seguma koeficients</w:t>
            </w:r>
            <w:r w:rsidRPr="000B1C66">
              <w:rPr>
                <w:sz w:val="22"/>
                <w:szCs w:val="23"/>
                <w:lang w:eastAsia="en-US"/>
              </w:rPr>
              <w:t>=</w:t>
            </w:r>
          </w:p>
        </w:tc>
        <w:tc>
          <w:tcPr>
            <w:tcW w:w="2902" w:type="dxa"/>
            <w:tcBorders>
              <w:top w:val="nil"/>
              <w:left w:val="nil"/>
              <w:bottom w:val="single" w:sz="4" w:space="0" w:color="000000"/>
              <w:right w:val="nil"/>
            </w:tcBorders>
            <w:noWrap/>
            <w:tcMar>
              <w:top w:w="15" w:type="dxa"/>
              <w:left w:w="15" w:type="dxa"/>
              <w:bottom w:w="0" w:type="dxa"/>
              <w:right w:w="15" w:type="dxa"/>
            </w:tcMar>
            <w:vAlign w:val="bottom"/>
          </w:tcPr>
          <w:p w:rsidR="00B42FB6" w:rsidRPr="000B1C66" w:rsidRDefault="00B42FB6" w:rsidP="002B1469">
            <w:pPr>
              <w:pStyle w:val="Parasts1"/>
              <w:spacing w:line="276" w:lineRule="auto"/>
              <w:rPr>
                <w:rFonts w:eastAsia="Arial Unicode MS"/>
                <w:sz w:val="22"/>
                <w:szCs w:val="23"/>
                <w:lang w:eastAsia="en-US"/>
              </w:rPr>
            </w:pPr>
            <w:r w:rsidRPr="000B1C66">
              <w:rPr>
                <w:rFonts w:eastAsia="Arial Unicode MS"/>
                <w:sz w:val="22"/>
                <w:szCs w:val="23"/>
                <w:lang w:eastAsia="en-US"/>
              </w:rPr>
              <w:t xml:space="preserve">    (34159+60689) =94848</w:t>
            </w:r>
          </w:p>
        </w:tc>
        <w:tc>
          <w:tcPr>
            <w:tcW w:w="84" w:type="dxa"/>
            <w:vMerge w:val="restart"/>
            <w:tcBorders>
              <w:top w:val="nil"/>
              <w:left w:val="nil"/>
              <w:bottom w:val="nil"/>
              <w:right w:val="nil"/>
            </w:tcBorders>
            <w:noWrap/>
            <w:tcMar>
              <w:top w:w="15" w:type="dxa"/>
              <w:left w:w="15" w:type="dxa"/>
              <w:bottom w:w="0" w:type="dxa"/>
              <w:right w:w="15" w:type="dxa"/>
            </w:tcMar>
            <w:vAlign w:val="bottom"/>
          </w:tcPr>
          <w:p w:rsidR="00B42FB6" w:rsidRPr="000B1C66" w:rsidRDefault="00B42FB6" w:rsidP="002B1469">
            <w:pPr>
              <w:pStyle w:val="Parasts1"/>
              <w:spacing w:line="276" w:lineRule="auto"/>
              <w:rPr>
                <w:rFonts w:eastAsia="Arial Unicode MS"/>
                <w:sz w:val="22"/>
                <w:szCs w:val="23"/>
                <w:lang w:eastAsia="en-US"/>
              </w:rPr>
            </w:pPr>
          </w:p>
        </w:tc>
        <w:tc>
          <w:tcPr>
            <w:tcW w:w="152" w:type="dxa"/>
            <w:vMerge w:val="restart"/>
            <w:tcBorders>
              <w:top w:val="nil"/>
              <w:left w:val="nil"/>
              <w:bottom w:val="nil"/>
              <w:right w:val="nil"/>
            </w:tcBorders>
            <w:noWrap/>
            <w:tcMar>
              <w:top w:w="15" w:type="dxa"/>
              <w:left w:w="15" w:type="dxa"/>
              <w:bottom w:w="0" w:type="dxa"/>
              <w:right w:w="15" w:type="dxa"/>
            </w:tcMar>
            <w:vAlign w:val="bottom"/>
          </w:tcPr>
          <w:p w:rsidR="00B42FB6" w:rsidRPr="000B1C66" w:rsidRDefault="00B42FB6" w:rsidP="002B1469">
            <w:pPr>
              <w:pStyle w:val="Parasts1"/>
              <w:spacing w:line="276" w:lineRule="auto"/>
              <w:jc w:val="center"/>
              <w:rPr>
                <w:rFonts w:eastAsia="Arial Unicode MS"/>
                <w:sz w:val="22"/>
                <w:szCs w:val="23"/>
                <w:lang w:eastAsia="en-US"/>
              </w:rPr>
            </w:pPr>
            <w:r w:rsidRPr="000B1C66">
              <w:rPr>
                <w:sz w:val="22"/>
                <w:szCs w:val="23"/>
                <w:lang w:eastAsia="en-US"/>
              </w:rPr>
              <w:t>=</w:t>
            </w:r>
          </w:p>
        </w:tc>
        <w:tc>
          <w:tcPr>
            <w:tcW w:w="919" w:type="dxa"/>
            <w:vMerge w:val="restart"/>
            <w:tcBorders>
              <w:top w:val="nil"/>
              <w:left w:val="nil"/>
              <w:bottom w:val="nil"/>
              <w:right w:val="nil"/>
            </w:tcBorders>
            <w:noWrap/>
            <w:tcMar>
              <w:top w:w="15" w:type="dxa"/>
              <w:left w:w="15" w:type="dxa"/>
              <w:bottom w:w="0" w:type="dxa"/>
              <w:right w:w="15" w:type="dxa"/>
            </w:tcMar>
            <w:vAlign w:val="bottom"/>
          </w:tcPr>
          <w:p w:rsidR="00B42FB6" w:rsidRPr="000B1C66" w:rsidRDefault="00B42FB6" w:rsidP="002B1469">
            <w:pPr>
              <w:pStyle w:val="Parasts1"/>
              <w:spacing w:line="276" w:lineRule="auto"/>
              <w:jc w:val="center"/>
              <w:rPr>
                <w:rFonts w:eastAsia="Arial Unicode MS"/>
                <w:b/>
                <w:bCs/>
                <w:sz w:val="22"/>
                <w:szCs w:val="23"/>
                <w:lang w:eastAsia="en-US"/>
              </w:rPr>
            </w:pPr>
            <w:r w:rsidRPr="000B1C66">
              <w:rPr>
                <w:b/>
                <w:bCs/>
                <w:sz w:val="22"/>
                <w:szCs w:val="23"/>
                <w:lang w:eastAsia="en-US"/>
              </w:rPr>
              <w:t>1.94</w:t>
            </w:r>
          </w:p>
        </w:tc>
        <w:tc>
          <w:tcPr>
            <w:tcW w:w="1342" w:type="dxa"/>
            <w:tcBorders>
              <w:top w:val="nil"/>
              <w:left w:val="nil"/>
              <w:bottom w:val="nil"/>
              <w:right w:val="nil"/>
            </w:tcBorders>
            <w:noWrap/>
            <w:tcMar>
              <w:top w:w="15" w:type="dxa"/>
              <w:left w:w="15" w:type="dxa"/>
              <w:bottom w:w="0" w:type="dxa"/>
              <w:right w:w="15" w:type="dxa"/>
            </w:tcMar>
            <w:vAlign w:val="bottom"/>
          </w:tcPr>
          <w:p w:rsidR="00B42FB6" w:rsidRPr="000B1C66" w:rsidRDefault="00B42FB6" w:rsidP="002B1469">
            <w:pPr>
              <w:pStyle w:val="Parasts1"/>
              <w:spacing w:line="276" w:lineRule="auto"/>
              <w:rPr>
                <w:rFonts w:eastAsia="Arial Unicode MS"/>
                <w:sz w:val="22"/>
                <w:szCs w:val="23"/>
                <w:lang w:eastAsia="en-US"/>
              </w:rPr>
            </w:pPr>
          </w:p>
        </w:tc>
        <w:tc>
          <w:tcPr>
            <w:tcW w:w="985" w:type="dxa"/>
            <w:tcBorders>
              <w:top w:val="nil"/>
              <w:left w:val="nil"/>
              <w:bottom w:val="nil"/>
              <w:right w:val="nil"/>
            </w:tcBorders>
            <w:noWrap/>
            <w:tcMar>
              <w:top w:w="15" w:type="dxa"/>
              <w:left w:w="15" w:type="dxa"/>
              <w:bottom w:w="0" w:type="dxa"/>
              <w:right w:w="15" w:type="dxa"/>
            </w:tcMar>
            <w:vAlign w:val="bottom"/>
          </w:tcPr>
          <w:p w:rsidR="00B42FB6" w:rsidRPr="000B1C66" w:rsidRDefault="00B42FB6" w:rsidP="002B1469">
            <w:pPr>
              <w:pStyle w:val="Parasts1"/>
              <w:spacing w:line="276" w:lineRule="auto"/>
              <w:rPr>
                <w:rFonts w:eastAsia="Arial Unicode MS"/>
                <w:sz w:val="22"/>
                <w:szCs w:val="23"/>
                <w:lang w:eastAsia="en-US"/>
              </w:rPr>
            </w:pPr>
          </w:p>
        </w:tc>
      </w:tr>
      <w:tr w:rsidR="00B42FB6" w:rsidRPr="000B1C66" w:rsidTr="002B1469">
        <w:trPr>
          <w:cantSplit/>
          <w:trHeight w:val="420"/>
        </w:trPr>
        <w:tc>
          <w:tcPr>
            <w:tcW w:w="2904" w:type="dxa"/>
            <w:vMerge/>
            <w:tcBorders>
              <w:top w:val="nil"/>
              <w:left w:val="nil"/>
              <w:bottom w:val="nil"/>
              <w:right w:val="nil"/>
            </w:tcBorders>
            <w:vAlign w:val="center"/>
          </w:tcPr>
          <w:p w:rsidR="00B42FB6" w:rsidRPr="000B1C66" w:rsidRDefault="00B42FB6" w:rsidP="002B1469">
            <w:pPr>
              <w:pStyle w:val="Parasts1"/>
              <w:spacing w:line="276" w:lineRule="auto"/>
              <w:rPr>
                <w:rFonts w:eastAsia="Arial Unicode MS"/>
                <w:sz w:val="22"/>
                <w:szCs w:val="23"/>
                <w:lang w:eastAsia="en-US"/>
              </w:rPr>
            </w:pPr>
          </w:p>
        </w:tc>
        <w:tc>
          <w:tcPr>
            <w:tcW w:w="2902" w:type="dxa"/>
            <w:tcBorders>
              <w:top w:val="nil"/>
              <w:left w:val="nil"/>
              <w:bottom w:val="nil"/>
              <w:right w:val="nil"/>
            </w:tcBorders>
            <w:noWrap/>
            <w:tcMar>
              <w:top w:w="15" w:type="dxa"/>
              <w:left w:w="15" w:type="dxa"/>
              <w:bottom w:w="0" w:type="dxa"/>
              <w:right w:w="15" w:type="dxa"/>
            </w:tcMar>
            <w:vAlign w:val="bottom"/>
          </w:tcPr>
          <w:p w:rsidR="00B42FB6" w:rsidRPr="000B1C66" w:rsidRDefault="00B42FB6" w:rsidP="002B1469">
            <w:pPr>
              <w:pStyle w:val="Parasts1"/>
              <w:spacing w:line="276" w:lineRule="auto"/>
              <w:rPr>
                <w:rFonts w:eastAsia="Arial Unicode MS"/>
                <w:sz w:val="22"/>
                <w:szCs w:val="23"/>
                <w:lang w:eastAsia="en-US"/>
              </w:rPr>
            </w:pPr>
            <w:r w:rsidRPr="000B1C66">
              <w:rPr>
                <w:rFonts w:eastAsia="Arial Unicode MS"/>
                <w:sz w:val="22"/>
                <w:szCs w:val="23"/>
                <w:lang w:eastAsia="en-US"/>
              </w:rPr>
              <w:t xml:space="preserve">                     48767</w:t>
            </w:r>
          </w:p>
        </w:tc>
        <w:tc>
          <w:tcPr>
            <w:tcW w:w="84" w:type="dxa"/>
            <w:vMerge/>
            <w:tcBorders>
              <w:top w:val="nil"/>
              <w:left w:val="nil"/>
              <w:bottom w:val="nil"/>
              <w:right w:val="nil"/>
            </w:tcBorders>
            <w:tcMar>
              <w:top w:w="15" w:type="dxa"/>
              <w:left w:w="15" w:type="dxa"/>
              <w:bottom w:w="0" w:type="dxa"/>
              <w:right w:w="15" w:type="dxa"/>
            </w:tcMar>
            <w:vAlign w:val="center"/>
          </w:tcPr>
          <w:p w:rsidR="00B42FB6" w:rsidRPr="000B1C66" w:rsidRDefault="00B42FB6" w:rsidP="002B1469">
            <w:pPr>
              <w:pStyle w:val="Parasts1"/>
              <w:spacing w:line="276" w:lineRule="auto"/>
              <w:rPr>
                <w:rFonts w:eastAsia="Arial Unicode MS"/>
                <w:sz w:val="22"/>
                <w:szCs w:val="23"/>
                <w:lang w:eastAsia="en-US"/>
              </w:rPr>
            </w:pPr>
          </w:p>
        </w:tc>
        <w:tc>
          <w:tcPr>
            <w:tcW w:w="152" w:type="dxa"/>
            <w:vMerge/>
            <w:tcBorders>
              <w:top w:val="nil"/>
              <w:left w:val="nil"/>
              <w:bottom w:val="nil"/>
              <w:right w:val="nil"/>
            </w:tcBorders>
            <w:tcMar>
              <w:top w:w="15" w:type="dxa"/>
              <w:left w:w="15" w:type="dxa"/>
              <w:bottom w:w="0" w:type="dxa"/>
              <w:right w:w="15" w:type="dxa"/>
            </w:tcMar>
            <w:vAlign w:val="center"/>
          </w:tcPr>
          <w:p w:rsidR="00B42FB6" w:rsidRPr="000B1C66" w:rsidRDefault="00B42FB6" w:rsidP="002B1469">
            <w:pPr>
              <w:pStyle w:val="Parasts1"/>
              <w:spacing w:line="276" w:lineRule="auto"/>
              <w:rPr>
                <w:rFonts w:eastAsia="Arial Unicode MS"/>
                <w:sz w:val="22"/>
                <w:szCs w:val="23"/>
                <w:lang w:eastAsia="en-US"/>
              </w:rPr>
            </w:pPr>
          </w:p>
        </w:tc>
        <w:tc>
          <w:tcPr>
            <w:tcW w:w="919" w:type="dxa"/>
            <w:vMerge/>
            <w:tcBorders>
              <w:top w:val="nil"/>
              <w:left w:val="nil"/>
              <w:bottom w:val="nil"/>
              <w:right w:val="nil"/>
            </w:tcBorders>
            <w:tcMar>
              <w:top w:w="15" w:type="dxa"/>
              <w:left w:w="15" w:type="dxa"/>
              <w:bottom w:w="0" w:type="dxa"/>
              <w:right w:w="15" w:type="dxa"/>
            </w:tcMar>
            <w:vAlign w:val="center"/>
          </w:tcPr>
          <w:p w:rsidR="00B42FB6" w:rsidRPr="000B1C66" w:rsidRDefault="00B42FB6" w:rsidP="002B1469">
            <w:pPr>
              <w:pStyle w:val="Parasts1"/>
              <w:spacing w:line="276" w:lineRule="auto"/>
              <w:rPr>
                <w:rFonts w:eastAsia="Arial Unicode MS"/>
                <w:b/>
                <w:bCs/>
                <w:sz w:val="22"/>
                <w:szCs w:val="23"/>
                <w:lang w:eastAsia="en-US"/>
              </w:rPr>
            </w:pPr>
          </w:p>
        </w:tc>
        <w:tc>
          <w:tcPr>
            <w:tcW w:w="1342" w:type="dxa"/>
            <w:tcBorders>
              <w:top w:val="nil"/>
              <w:left w:val="nil"/>
              <w:bottom w:val="nil"/>
              <w:right w:val="nil"/>
            </w:tcBorders>
            <w:noWrap/>
            <w:tcMar>
              <w:top w:w="15" w:type="dxa"/>
              <w:left w:w="15" w:type="dxa"/>
              <w:bottom w:w="0" w:type="dxa"/>
              <w:right w:w="15" w:type="dxa"/>
            </w:tcMar>
            <w:vAlign w:val="bottom"/>
          </w:tcPr>
          <w:p w:rsidR="00B42FB6" w:rsidRPr="000B1C66" w:rsidRDefault="00B42FB6" w:rsidP="002B1469">
            <w:pPr>
              <w:pStyle w:val="Parasts1"/>
              <w:spacing w:line="276" w:lineRule="auto"/>
              <w:rPr>
                <w:rFonts w:eastAsia="Arial Unicode MS"/>
                <w:b/>
                <w:bCs/>
                <w:sz w:val="22"/>
                <w:szCs w:val="23"/>
                <w:lang w:eastAsia="en-US"/>
              </w:rPr>
            </w:pPr>
          </w:p>
        </w:tc>
        <w:tc>
          <w:tcPr>
            <w:tcW w:w="985" w:type="dxa"/>
            <w:tcBorders>
              <w:top w:val="nil"/>
              <w:left w:val="nil"/>
              <w:bottom w:val="nil"/>
              <w:right w:val="nil"/>
            </w:tcBorders>
            <w:noWrap/>
            <w:tcMar>
              <w:top w:w="15" w:type="dxa"/>
              <w:left w:w="15" w:type="dxa"/>
              <w:bottom w:w="0" w:type="dxa"/>
              <w:right w:w="15" w:type="dxa"/>
            </w:tcMar>
            <w:vAlign w:val="bottom"/>
          </w:tcPr>
          <w:p w:rsidR="00B42FB6" w:rsidRPr="000B1C66" w:rsidRDefault="00B42FB6" w:rsidP="002B1469">
            <w:pPr>
              <w:pStyle w:val="Parasts1"/>
              <w:spacing w:line="276" w:lineRule="auto"/>
              <w:rPr>
                <w:rFonts w:eastAsia="Arial Unicode MS"/>
                <w:sz w:val="22"/>
                <w:szCs w:val="23"/>
                <w:lang w:eastAsia="en-US"/>
              </w:rPr>
            </w:pPr>
          </w:p>
        </w:tc>
      </w:tr>
      <w:tr w:rsidR="00B42FB6" w:rsidRPr="000B1C66" w:rsidTr="002B1469">
        <w:trPr>
          <w:trHeight w:val="255"/>
        </w:trPr>
        <w:tc>
          <w:tcPr>
            <w:tcW w:w="2904" w:type="dxa"/>
            <w:tcBorders>
              <w:top w:val="nil"/>
              <w:left w:val="nil"/>
              <w:bottom w:val="nil"/>
              <w:right w:val="nil"/>
            </w:tcBorders>
            <w:noWrap/>
            <w:tcMar>
              <w:top w:w="15" w:type="dxa"/>
              <w:left w:w="15" w:type="dxa"/>
              <w:bottom w:w="0" w:type="dxa"/>
              <w:right w:w="15" w:type="dxa"/>
            </w:tcMar>
            <w:vAlign w:val="bottom"/>
          </w:tcPr>
          <w:p w:rsidR="00B42FB6" w:rsidRPr="000B1C66" w:rsidRDefault="00B42FB6" w:rsidP="002B1469">
            <w:pPr>
              <w:pStyle w:val="Parasts1"/>
              <w:spacing w:line="276" w:lineRule="auto"/>
              <w:rPr>
                <w:rFonts w:eastAsia="Arial Unicode MS"/>
                <w:sz w:val="22"/>
                <w:szCs w:val="23"/>
                <w:lang w:eastAsia="en-US"/>
              </w:rPr>
            </w:pPr>
          </w:p>
        </w:tc>
        <w:tc>
          <w:tcPr>
            <w:tcW w:w="2902" w:type="dxa"/>
            <w:tcBorders>
              <w:top w:val="nil"/>
              <w:left w:val="nil"/>
              <w:bottom w:val="nil"/>
              <w:right w:val="nil"/>
            </w:tcBorders>
            <w:noWrap/>
            <w:tcMar>
              <w:top w:w="15" w:type="dxa"/>
              <w:left w:w="15" w:type="dxa"/>
              <w:bottom w:w="0" w:type="dxa"/>
              <w:right w:w="15" w:type="dxa"/>
            </w:tcMar>
            <w:vAlign w:val="bottom"/>
          </w:tcPr>
          <w:p w:rsidR="00B42FB6" w:rsidRPr="000B1C66" w:rsidRDefault="00B42FB6" w:rsidP="002B1469">
            <w:pPr>
              <w:pStyle w:val="Parasts1"/>
              <w:spacing w:line="276" w:lineRule="auto"/>
              <w:rPr>
                <w:rFonts w:eastAsia="Arial Unicode MS"/>
                <w:sz w:val="22"/>
                <w:szCs w:val="23"/>
                <w:lang w:eastAsia="en-US"/>
              </w:rPr>
            </w:pPr>
          </w:p>
        </w:tc>
        <w:tc>
          <w:tcPr>
            <w:tcW w:w="84" w:type="dxa"/>
            <w:tcBorders>
              <w:top w:val="nil"/>
              <w:left w:val="nil"/>
              <w:bottom w:val="nil"/>
              <w:right w:val="nil"/>
            </w:tcBorders>
            <w:noWrap/>
            <w:tcMar>
              <w:top w:w="15" w:type="dxa"/>
              <w:left w:w="15" w:type="dxa"/>
              <w:bottom w:w="0" w:type="dxa"/>
              <w:right w:w="15" w:type="dxa"/>
            </w:tcMar>
            <w:vAlign w:val="bottom"/>
          </w:tcPr>
          <w:p w:rsidR="00B42FB6" w:rsidRPr="000B1C66" w:rsidRDefault="00B42FB6" w:rsidP="002B1469">
            <w:pPr>
              <w:pStyle w:val="Parasts1"/>
              <w:spacing w:line="276" w:lineRule="auto"/>
              <w:rPr>
                <w:rFonts w:eastAsia="Arial Unicode MS"/>
                <w:sz w:val="22"/>
                <w:szCs w:val="23"/>
                <w:lang w:eastAsia="en-US"/>
              </w:rPr>
            </w:pPr>
          </w:p>
        </w:tc>
        <w:tc>
          <w:tcPr>
            <w:tcW w:w="152" w:type="dxa"/>
            <w:tcBorders>
              <w:top w:val="nil"/>
              <w:left w:val="nil"/>
              <w:bottom w:val="nil"/>
              <w:right w:val="nil"/>
            </w:tcBorders>
            <w:noWrap/>
            <w:tcMar>
              <w:top w:w="15" w:type="dxa"/>
              <w:left w:w="15" w:type="dxa"/>
              <w:bottom w:w="0" w:type="dxa"/>
              <w:right w:w="15" w:type="dxa"/>
            </w:tcMar>
            <w:vAlign w:val="bottom"/>
          </w:tcPr>
          <w:p w:rsidR="00B42FB6" w:rsidRPr="000B1C66" w:rsidRDefault="00B42FB6" w:rsidP="002B1469">
            <w:pPr>
              <w:pStyle w:val="Parasts1"/>
              <w:spacing w:line="276" w:lineRule="auto"/>
              <w:rPr>
                <w:rFonts w:eastAsia="Arial Unicode MS"/>
                <w:sz w:val="22"/>
                <w:szCs w:val="23"/>
                <w:lang w:eastAsia="en-US"/>
              </w:rPr>
            </w:pPr>
          </w:p>
        </w:tc>
        <w:tc>
          <w:tcPr>
            <w:tcW w:w="919" w:type="dxa"/>
            <w:tcBorders>
              <w:top w:val="nil"/>
              <w:left w:val="nil"/>
              <w:bottom w:val="nil"/>
              <w:right w:val="nil"/>
            </w:tcBorders>
            <w:noWrap/>
            <w:tcMar>
              <w:top w:w="15" w:type="dxa"/>
              <w:left w:w="15" w:type="dxa"/>
              <w:bottom w:w="0" w:type="dxa"/>
              <w:right w:w="15" w:type="dxa"/>
            </w:tcMar>
            <w:vAlign w:val="bottom"/>
          </w:tcPr>
          <w:p w:rsidR="00B42FB6" w:rsidRPr="000B1C66" w:rsidRDefault="00B42FB6" w:rsidP="002B1469">
            <w:pPr>
              <w:pStyle w:val="Parasts1"/>
              <w:spacing w:line="276" w:lineRule="auto"/>
              <w:rPr>
                <w:rFonts w:eastAsia="Arial Unicode MS"/>
                <w:sz w:val="22"/>
                <w:szCs w:val="23"/>
                <w:lang w:eastAsia="en-US"/>
              </w:rPr>
            </w:pPr>
          </w:p>
        </w:tc>
        <w:tc>
          <w:tcPr>
            <w:tcW w:w="1342" w:type="dxa"/>
            <w:tcBorders>
              <w:top w:val="nil"/>
              <w:left w:val="nil"/>
              <w:bottom w:val="nil"/>
              <w:right w:val="nil"/>
            </w:tcBorders>
            <w:noWrap/>
            <w:tcMar>
              <w:top w:w="15" w:type="dxa"/>
              <w:left w:w="15" w:type="dxa"/>
              <w:bottom w:w="0" w:type="dxa"/>
              <w:right w:w="15" w:type="dxa"/>
            </w:tcMar>
            <w:vAlign w:val="bottom"/>
          </w:tcPr>
          <w:p w:rsidR="00B42FB6" w:rsidRPr="000B1C66" w:rsidRDefault="00B42FB6" w:rsidP="002B1469">
            <w:pPr>
              <w:pStyle w:val="Parasts1"/>
              <w:spacing w:line="276" w:lineRule="auto"/>
              <w:rPr>
                <w:rFonts w:eastAsia="Arial Unicode MS"/>
                <w:sz w:val="22"/>
                <w:szCs w:val="23"/>
                <w:lang w:eastAsia="en-US"/>
              </w:rPr>
            </w:pPr>
          </w:p>
        </w:tc>
        <w:tc>
          <w:tcPr>
            <w:tcW w:w="985" w:type="dxa"/>
            <w:tcBorders>
              <w:top w:val="nil"/>
              <w:left w:val="nil"/>
              <w:bottom w:val="nil"/>
              <w:right w:val="nil"/>
            </w:tcBorders>
            <w:noWrap/>
            <w:tcMar>
              <w:top w:w="15" w:type="dxa"/>
              <w:left w:w="15" w:type="dxa"/>
              <w:bottom w:w="0" w:type="dxa"/>
              <w:right w:w="15" w:type="dxa"/>
            </w:tcMar>
            <w:vAlign w:val="bottom"/>
          </w:tcPr>
          <w:p w:rsidR="00B42FB6" w:rsidRPr="000B1C66" w:rsidRDefault="00B42FB6" w:rsidP="002B1469">
            <w:pPr>
              <w:pStyle w:val="Parasts1"/>
              <w:spacing w:line="276" w:lineRule="auto"/>
              <w:rPr>
                <w:rFonts w:eastAsia="Arial Unicode MS"/>
                <w:sz w:val="22"/>
                <w:szCs w:val="23"/>
                <w:lang w:eastAsia="en-US"/>
              </w:rPr>
            </w:pPr>
          </w:p>
        </w:tc>
      </w:tr>
      <w:tr w:rsidR="00B42FB6" w:rsidRPr="000B1C66" w:rsidTr="002B1469">
        <w:trPr>
          <w:cantSplit/>
          <w:trHeight w:val="255"/>
        </w:trPr>
        <w:tc>
          <w:tcPr>
            <w:tcW w:w="2904" w:type="dxa"/>
            <w:vMerge w:val="restart"/>
            <w:tcBorders>
              <w:top w:val="nil"/>
              <w:left w:val="nil"/>
              <w:bottom w:val="nil"/>
              <w:right w:val="nil"/>
            </w:tcBorders>
            <w:tcMar>
              <w:top w:w="15" w:type="dxa"/>
              <w:left w:w="15" w:type="dxa"/>
              <w:bottom w:w="0" w:type="dxa"/>
              <w:right w:w="15" w:type="dxa"/>
            </w:tcMar>
            <w:vAlign w:val="bottom"/>
          </w:tcPr>
          <w:p w:rsidR="00B42FB6" w:rsidRPr="000B1C66" w:rsidRDefault="00B42FB6" w:rsidP="002B1469">
            <w:pPr>
              <w:pStyle w:val="Parasts1"/>
              <w:spacing w:line="276" w:lineRule="auto"/>
              <w:rPr>
                <w:rFonts w:eastAsia="Arial Unicode MS"/>
                <w:sz w:val="22"/>
                <w:szCs w:val="23"/>
                <w:lang w:eastAsia="en-US"/>
              </w:rPr>
            </w:pPr>
            <w:r>
              <w:rPr>
                <w:sz w:val="22"/>
                <w:szCs w:val="23"/>
                <w:lang w:eastAsia="en-US"/>
              </w:rPr>
              <w:t>Kopējais likvid.koef.</w:t>
            </w:r>
            <w:r w:rsidRPr="000B1C66">
              <w:rPr>
                <w:sz w:val="22"/>
                <w:szCs w:val="23"/>
                <w:lang w:eastAsia="en-US"/>
              </w:rPr>
              <w:t>=</w:t>
            </w:r>
          </w:p>
        </w:tc>
        <w:tc>
          <w:tcPr>
            <w:tcW w:w="2902" w:type="dxa"/>
            <w:tcBorders>
              <w:top w:val="nil"/>
              <w:left w:val="nil"/>
              <w:bottom w:val="single" w:sz="4" w:space="0" w:color="000000"/>
              <w:right w:val="nil"/>
            </w:tcBorders>
            <w:noWrap/>
            <w:tcMar>
              <w:top w:w="15" w:type="dxa"/>
              <w:left w:w="15" w:type="dxa"/>
              <w:bottom w:w="0" w:type="dxa"/>
              <w:right w:w="15" w:type="dxa"/>
            </w:tcMar>
            <w:vAlign w:val="bottom"/>
          </w:tcPr>
          <w:p w:rsidR="00B42FB6" w:rsidRPr="000B1C66" w:rsidRDefault="00B42FB6" w:rsidP="002B1469">
            <w:pPr>
              <w:pStyle w:val="Parasts1"/>
              <w:spacing w:line="276" w:lineRule="auto"/>
              <w:rPr>
                <w:rFonts w:eastAsia="Arial Unicode MS"/>
                <w:sz w:val="22"/>
                <w:szCs w:val="23"/>
                <w:lang w:eastAsia="en-US"/>
              </w:rPr>
            </w:pPr>
            <w:r w:rsidRPr="000B1C66">
              <w:rPr>
                <w:rFonts w:eastAsia="Arial Unicode MS"/>
                <w:sz w:val="22"/>
                <w:szCs w:val="23"/>
                <w:lang w:eastAsia="en-US"/>
              </w:rPr>
              <w:t xml:space="preserve">     (34159+60689+2256)=97104</w:t>
            </w:r>
          </w:p>
        </w:tc>
        <w:tc>
          <w:tcPr>
            <w:tcW w:w="84" w:type="dxa"/>
            <w:vMerge w:val="restart"/>
            <w:tcBorders>
              <w:top w:val="nil"/>
              <w:left w:val="nil"/>
              <w:bottom w:val="nil"/>
              <w:right w:val="nil"/>
            </w:tcBorders>
            <w:noWrap/>
            <w:tcMar>
              <w:top w:w="15" w:type="dxa"/>
              <w:left w:w="15" w:type="dxa"/>
              <w:bottom w:w="0" w:type="dxa"/>
              <w:right w:w="15" w:type="dxa"/>
            </w:tcMar>
            <w:vAlign w:val="bottom"/>
          </w:tcPr>
          <w:p w:rsidR="00B42FB6" w:rsidRPr="000B1C66" w:rsidRDefault="00B42FB6" w:rsidP="002B1469">
            <w:pPr>
              <w:pStyle w:val="Parasts1"/>
              <w:spacing w:line="276" w:lineRule="auto"/>
              <w:rPr>
                <w:rFonts w:eastAsia="Arial Unicode MS"/>
                <w:sz w:val="22"/>
                <w:szCs w:val="23"/>
                <w:lang w:eastAsia="en-US"/>
              </w:rPr>
            </w:pPr>
          </w:p>
        </w:tc>
        <w:tc>
          <w:tcPr>
            <w:tcW w:w="152" w:type="dxa"/>
            <w:vMerge w:val="restart"/>
            <w:tcBorders>
              <w:top w:val="nil"/>
              <w:left w:val="nil"/>
              <w:bottom w:val="nil"/>
              <w:right w:val="nil"/>
            </w:tcBorders>
            <w:noWrap/>
            <w:tcMar>
              <w:top w:w="15" w:type="dxa"/>
              <w:left w:w="15" w:type="dxa"/>
              <w:bottom w:w="0" w:type="dxa"/>
              <w:right w:w="15" w:type="dxa"/>
            </w:tcMar>
            <w:vAlign w:val="bottom"/>
          </w:tcPr>
          <w:p w:rsidR="00B42FB6" w:rsidRPr="000B1C66" w:rsidRDefault="00B42FB6" w:rsidP="002B1469">
            <w:pPr>
              <w:pStyle w:val="Parasts1"/>
              <w:spacing w:line="276" w:lineRule="auto"/>
              <w:jc w:val="center"/>
              <w:rPr>
                <w:rFonts w:eastAsia="Arial Unicode MS"/>
                <w:sz w:val="22"/>
                <w:szCs w:val="23"/>
                <w:lang w:eastAsia="en-US"/>
              </w:rPr>
            </w:pPr>
            <w:r w:rsidRPr="000B1C66">
              <w:rPr>
                <w:sz w:val="22"/>
                <w:szCs w:val="23"/>
                <w:lang w:eastAsia="en-US"/>
              </w:rPr>
              <w:t>=</w:t>
            </w:r>
          </w:p>
        </w:tc>
        <w:tc>
          <w:tcPr>
            <w:tcW w:w="919" w:type="dxa"/>
            <w:vMerge w:val="restart"/>
            <w:tcBorders>
              <w:top w:val="nil"/>
              <w:left w:val="nil"/>
              <w:bottom w:val="nil"/>
              <w:right w:val="nil"/>
            </w:tcBorders>
            <w:noWrap/>
            <w:tcMar>
              <w:top w:w="15" w:type="dxa"/>
              <w:left w:w="15" w:type="dxa"/>
              <w:bottom w:w="0" w:type="dxa"/>
              <w:right w:w="15" w:type="dxa"/>
            </w:tcMar>
            <w:vAlign w:val="bottom"/>
          </w:tcPr>
          <w:p w:rsidR="00B42FB6" w:rsidRPr="000B1C66" w:rsidRDefault="00B42FB6" w:rsidP="002B1469">
            <w:pPr>
              <w:pStyle w:val="Parasts1"/>
              <w:spacing w:line="276" w:lineRule="auto"/>
              <w:jc w:val="center"/>
              <w:rPr>
                <w:rFonts w:eastAsia="Arial Unicode MS"/>
                <w:b/>
                <w:bCs/>
                <w:sz w:val="22"/>
                <w:szCs w:val="23"/>
                <w:lang w:eastAsia="en-US"/>
              </w:rPr>
            </w:pPr>
            <w:r w:rsidRPr="000B1C66">
              <w:rPr>
                <w:rFonts w:eastAsia="Arial Unicode MS"/>
                <w:b/>
                <w:bCs/>
                <w:sz w:val="22"/>
                <w:szCs w:val="23"/>
                <w:lang w:eastAsia="en-US"/>
              </w:rPr>
              <w:t>1.99</w:t>
            </w:r>
          </w:p>
        </w:tc>
        <w:tc>
          <w:tcPr>
            <w:tcW w:w="1342" w:type="dxa"/>
            <w:tcBorders>
              <w:top w:val="nil"/>
              <w:left w:val="nil"/>
              <w:bottom w:val="nil"/>
              <w:right w:val="nil"/>
            </w:tcBorders>
            <w:noWrap/>
            <w:tcMar>
              <w:top w:w="15" w:type="dxa"/>
              <w:left w:w="15" w:type="dxa"/>
              <w:bottom w:w="0" w:type="dxa"/>
              <w:right w:w="15" w:type="dxa"/>
            </w:tcMar>
            <w:vAlign w:val="bottom"/>
          </w:tcPr>
          <w:p w:rsidR="00B42FB6" w:rsidRPr="000B1C66" w:rsidRDefault="00B42FB6" w:rsidP="002B1469">
            <w:pPr>
              <w:pStyle w:val="Parasts1"/>
              <w:spacing w:line="276" w:lineRule="auto"/>
              <w:rPr>
                <w:rFonts w:eastAsia="Arial Unicode MS"/>
                <w:sz w:val="22"/>
                <w:szCs w:val="23"/>
                <w:lang w:eastAsia="en-US"/>
              </w:rPr>
            </w:pPr>
          </w:p>
        </w:tc>
        <w:tc>
          <w:tcPr>
            <w:tcW w:w="985" w:type="dxa"/>
            <w:tcBorders>
              <w:top w:val="nil"/>
              <w:left w:val="nil"/>
              <w:bottom w:val="nil"/>
              <w:right w:val="nil"/>
            </w:tcBorders>
            <w:noWrap/>
            <w:tcMar>
              <w:top w:w="15" w:type="dxa"/>
              <w:left w:w="15" w:type="dxa"/>
              <w:bottom w:w="0" w:type="dxa"/>
              <w:right w:w="15" w:type="dxa"/>
            </w:tcMar>
            <w:vAlign w:val="bottom"/>
          </w:tcPr>
          <w:p w:rsidR="00B42FB6" w:rsidRPr="000B1C66" w:rsidRDefault="00B42FB6" w:rsidP="002B1469">
            <w:pPr>
              <w:pStyle w:val="Parasts1"/>
              <w:spacing w:line="276" w:lineRule="auto"/>
              <w:rPr>
                <w:rFonts w:eastAsia="Arial Unicode MS"/>
                <w:sz w:val="22"/>
                <w:szCs w:val="23"/>
                <w:lang w:eastAsia="en-US"/>
              </w:rPr>
            </w:pPr>
          </w:p>
        </w:tc>
      </w:tr>
      <w:tr w:rsidR="00B42FB6" w:rsidRPr="000B1C66" w:rsidTr="002B1469">
        <w:trPr>
          <w:cantSplit/>
          <w:trHeight w:val="255"/>
        </w:trPr>
        <w:tc>
          <w:tcPr>
            <w:tcW w:w="2904" w:type="dxa"/>
            <w:vMerge/>
            <w:tcBorders>
              <w:top w:val="nil"/>
              <w:left w:val="nil"/>
              <w:bottom w:val="nil"/>
              <w:right w:val="nil"/>
            </w:tcBorders>
            <w:vAlign w:val="center"/>
          </w:tcPr>
          <w:p w:rsidR="00B42FB6" w:rsidRPr="000B1C66" w:rsidRDefault="00B42FB6" w:rsidP="002B1469">
            <w:pPr>
              <w:pStyle w:val="Parasts1"/>
              <w:spacing w:line="276" w:lineRule="auto"/>
              <w:rPr>
                <w:rFonts w:eastAsia="Arial Unicode MS"/>
                <w:sz w:val="22"/>
                <w:szCs w:val="23"/>
                <w:lang w:eastAsia="en-US"/>
              </w:rPr>
            </w:pPr>
          </w:p>
        </w:tc>
        <w:tc>
          <w:tcPr>
            <w:tcW w:w="2902" w:type="dxa"/>
            <w:tcBorders>
              <w:top w:val="nil"/>
              <w:left w:val="nil"/>
              <w:bottom w:val="nil"/>
              <w:right w:val="nil"/>
            </w:tcBorders>
            <w:noWrap/>
            <w:tcMar>
              <w:top w:w="15" w:type="dxa"/>
              <w:left w:w="15" w:type="dxa"/>
              <w:bottom w:w="0" w:type="dxa"/>
              <w:right w:w="15" w:type="dxa"/>
            </w:tcMar>
            <w:vAlign w:val="bottom"/>
          </w:tcPr>
          <w:p w:rsidR="00B42FB6" w:rsidRPr="000B1C66" w:rsidRDefault="00B42FB6" w:rsidP="002B1469">
            <w:pPr>
              <w:pStyle w:val="Parasts1"/>
              <w:spacing w:line="276" w:lineRule="auto"/>
              <w:rPr>
                <w:rFonts w:eastAsia="Arial Unicode MS"/>
                <w:sz w:val="22"/>
                <w:szCs w:val="23"/>
                <w:lang w:eastAsia="en-US"/>
              </w:rPr>
            </w:pPr>
            <w:r w:rsidRPr="000B1C66">
              <w:rPr>
                <w:sz w:val="22"/>
                <w:szCs w:val="23"/>
                <w:lang w:eastAsia="en-US"/>
              </w:rPr>
              <w:t xml:space="preserve">                         48767</w:t>
            </w:r>
          </w:p>
        </w:tc>
        <w:tc>
          <w:tcPr>
            <w:tcW w:w="84" w:type="dxa"/>
            <w:vMerge/>
            <w:tcBorders>
              <w:top w:val="nil"/>
              <w:left w:val="nil"/>
              <w:bottom w:val="nil"/>
              <w:right w:val="nil"/>
            </w:tcBorders>
            <w:tcMar>
              <w:top w:w="15" w:type="dxa"/>
              <w:left w:w="15" w:type="dxa"/>
              <w:bottom w:w="0" w:type="dxa"/>
              <w:right w:w="15" w:type="dxa"/>
            </w:tcMar>
            <w:vAlign w:val="center"/>
          </w:tcPr>
          <w:p w:rsidR="00B42FB6" w:rsidRPr="000B1C66" w:rsidRDefault="00B42FB6" w:rsidP="002B1469">
            <w:pPr>
              <w:pStyle w:val="Parasts1"/>
              <w:spacing w:line="276" w:lineRule="auto"/>
              <w:rPr>
                <w:rFonts w:eastAsia="Arial Unicode MS"/>
                <w:sz w:val="22"/>
                <w:szCs w:val="23"/>
                <w:lang w:eastAsia="en-US"/>
              </w:rPr>
            </w:pPr>
          </w:p>
        </w:tc>
        <w:tc>
          <w:tcPr>
            <w:tcW w:w="152" w:type="dxa"/>
            <w:vMerge/>
            <w:tcBorders>
              <w:top w:val="nil"/>
              <w:left w:val="nil"/>
              <w:bottom w:val="nil"/>
              <w:right w:val="nil"/>
            </w:tcBorders>
            <w:tcMar>
              <w:top w:w="15" w:type="dxa"/>
              <w:left w:w="15" w:type="dxa"/>
              <w:bottom w:w="0" w:type="dxa"/>
              <w:right w:w="15" w:type="dxa"/>
            </w:tcMar>
            <w:vAlign w:val="center"/>
          </w:tcPr>
          <w:p w:rsidR="00B42FB6" w:rsidRPr="000B1C66" w:rsidRDefault="00B42FB6" w:rsidP="002B1469">
            <w:pPr>
              <w:pStyle w:val="Parasts1"/>
              <w:spacing w:line="276" w:lineRule="auto"/>
              <w:rPr>
                <w:rFonts w:eastAsia="Arial Unicode MS"/>
                <w:sz w:val="22"/>
                <w:szCs w:val="23"/>
                <w:lang w:eastAsia="en-US"/>
              </w:rPr>
            </w:pPr>
          </w:p>
        </w:tc>
        <w:tc>
          <w:tcPr>
            <w:tcW w:w="919" w:type="dxa"/>
            <w:vMerge/>
            <w:tcBorders>
              <w:top w:val="nil"/>
              <w:left w:val="nil"/>
              <w:bottom w:val="nil"/>
              <w:right w:val="nil"/>
            </w:tcBorders>
            <w:tcMar>
              <w:top w:w="15" w:type="dxa"/>
              <w:left w:w="15" w:type="dxa"/>
              <w:bottom w:w="0" w:type="dxa"/>
              <w:right w:w="15" w:type="dxa"/>
            </w:tcMar>
            <w:vAlign w:val="center"/>
          </w:tcPr>
          <w:p w:rsidR="00B42FB6" w:rsidRPr="000B1C66" w:rsidRDefault="00B42FB6" w:rsidP="002B1469">
            <w:pPr>
              <w:pStyle w:val="Parasts1"/>
              <w:spacing w:line="276" w:lineRule="auto"/>
              <w:rPr>
                <w:rFonts w:eastAsia="Arial Unicode MS"/>
                <w:b/>
                <w:bCs/>
                <w:sz w:val="22"/>
                <w:szCs w:val="23"/>
                <w:lang w:eastAsia="en-US"/>
              </w:rPr>
            </w:pPr>
          </w:p>
        </w:tc>
        <w:tc>
          <w:tcPr>
            <w:tcW w:w="1342" w:type="dxa"/>
            <w:tcBorders>
              <w:top w:val="nil"/>
              <w:left w:val="nil"/>
              <w:bottom w:val="nil"/>
              <w:right w:val="nil"/>
            </w:tcBorders>
            <w:noWrap/>
            <w:tcMar>
              <w:top w:w="15" w:type="dxa"/>
              <w:left w:w="15" w:type="dxa"/>
              <w:bottom w:w="0" w:type="dxa"/>
              <w:right w:w="15" w:type="dxa"/>
            </w:tcMar>
            <w:vAlign w:val="bottom"/>
          </w:tcPr>
          <w:p w:rsidR="00B42FB6" w:rsidRPr="000B1C66" w:rsidRDefault="00B42FB6" w:rsidP="002B1469">
            <w:pPr>
              <w:pStyle w:val="Parasts1"/>
              <w:spacing w:line="276" w:lineRule="auto"/>
              <w:rPr>
                <w:rFonts w:eastAsia="Arial Unicode MS"/>
                <w:b/>
                <w:bCs/>
                <w:sz w:val="22"/>
                <w:szCs w:val="23"/>
                <w:lang w:eastAsia="en-US"/>
              </w:rPr>
            </w:pPr>
          </w:p>
        </w:tc>
        <w:tc>
          <w:tcPr>
            <w:tcW w:w="985" w:type="dxa"/>
            <w:tcBorders>
              <w:top w:val="nil"/>
              <w:left w:val="nil"/>
              <w:bottom w:val="nil"/>
              <w:right w:val="nil"/>
            </w:tcBorders>
            <w:noWrap/>
            <w:tcMar>
              <w:top w:w="15" w:type="dxa"/>
              <w:left w:w="15" w:type="dxa"/>
              <w:bottom w:w="0" w:type="dxa"/>
              <w:right w:w="15" w:type="dxa"/>
            </w:tcMar>
            <w:vAlign w:val="bottom"/>
          </w:tcPr>
          <w:p w:rsidR="00B42FB6" w:rsidRPr="000B1C66" w:rsidRDefault="00B42FB6" w:rsidP="002B1469">
            <w:pPr>
              <w:pStyle w:val="Parasts1"/>
              <w:spacing w:line="276" w:lineRule="auto"/>
              <w:rPr>
                <w:rFonts w:eastAsia="Arial Unicode MS"/>
                <w:sz w:val="22"/>
                <w:szCs w:val="23"/>
                <w:lang w:eastAsia="en-US"/>
              </w:rPr>
            </w:pPr>
          </w:p>
        </w:tc>
      </w:tr>
    </w:tbl>
    <w:p w:rsidR="00B42FB6" w:rsidRDefault="00B42FB6" w:rsidP="000C01EB">
      <w:pPr>
        <w:rPr>
          <w:rFonts w:ascii="Times New Roman" w:hAnsi="Times New Roman" w:cs="Times New Roman"/>
          <w:b/>
          <w:sz w:val="24"/>
          <w:szCs w:val="24"/>
        </w:rPr>
      </w:pPr>
    </w:p>
    <w:p w:rsidR="00C93E8F" w:rsidRDefault="00C93E8F" w:rsidP="00C93E8F">
      <w:pPr>
        <w:pStyle w:val="Parasts1"/>
        <w:jc w:val="center"/>
      </w:pPr>
      <w:r>
        <w:t>Finanšu pārskats</w:t>
      </w:r>
    </w:p>
    <w:p w:rsidR="00C93E8F" w:rsidRPr="00AB39B6" w:rsidRDefault="00C93E8F" w:rsidP="00C93E8F">
      <w:pPr>
        <w:pStyle w:val="Parasts1"/>
        <w:jc w:val="center"/>
        <w:rPr>
          <w:b/>
        </w:rPr>
      </w:pPr>
      <w:r>
        <w:rPr>
          <w:b/>
        </w:rPr>
        <w:t>Bilance uz 31.</w:t>
      </w:r>
      <w:r w:rsidRPr="00AB39B6">
        <w:rPr>
          <w:b/>
        </w:rPr>
        <w:t>1</w:t>
      </w:r>
      <w:r>
        <w:rPr>
          <w:b/>
        </w:rPr>
        <w:t>2</w:t>
      </w:r>
      <w:r w:rsidRPr="00AB39B6">
        <w:rPr>
          <w:b/>
        </w:rPr>
        <w:t>.201</w:t>
      </w:r>
      <w:r>
        <w:rPr>
          <w:b/>
        </w:rPr>
        <w:t>5</w:t>
      </w:r>
      <w:r w:rsidRPr="00AB39B6">
        <w:rPr>
          <w:b/>
        </w:rPr>
        <w:t>.</w:t>
      </w:r>
    </w:p>
    <w:tbl>
      <w:tblPr>
        <w:tblW w:w="9351" w:type="dxa"/>
        <w:tblInd w:w="-709" w:type="dxa"/>
        <w:tblLook w:val="0000" w:firstRow="0" w:lastRow="0" w:firstColumn="0" w:lastColumn="0" w:noHBand="0" w:noVBand="0"/>
      </w:tblPr>
      <w:tblGrid>
        <w:gridCol w:w="7508"/>
        <w:gridCol w:w="1843"/>
      </w:tblGrid>
      <w:tr w:rsidR="002409C8" w:rsidTr="002409C8">
        <w:trPr>
          <w:trHeight w:val="315"/>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09C8" w:rsidRDefault="002409C8" w:rsidP="002B1469">
            <w:pPr>
              <w:pStyle w:val="Parasts1"/>
            </w:pPr>
            <w:r>
              <w:t> Rādītāja nosaukums</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409C8" w:rsidRPr="007D2E87" w:rsidRDefault="002409C8" w:rsidP="002B1469">
            <w:pPr>
              <w:pStyle w:val="Parasts1"/>
              <w:jc w:val="center"/>
              <w:rPr>
                <w:i/>
                <w:iCs/>
                <w:sz w:val="16"/>
                <w:szCs w:val="16"/>
              </w:rPr>
            </w:pPr>
            <w:r w:rsidRPr="007D2E87">
              <w:rPr>
                <w:iCs/>
                <w:sz w:val="16"/>
                <w:szCs w:val="16"/>
              </w:rPr>
              <w:t xml:space="preserve">Pārskata periodā </w:t>
            </w:r>
          </w:p>
        </w:tc>
      </w:tr>
      <w:tr w:rsidR="002409C8" w:rsidTr="002409C8">
        <w:trPr>
          <w:trHeight w:val="227"/>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09C8" w:rsidRPr="007D2E87" w:rsidRDefault="002409C8" w:rsidP="002B1469">
            <w:pPr>
              <w:pStyle w:val="Parasts1"/>
              <w:jc w:val="center"/>
              <w:rPr>
                <w:b/>
                <w:bCs/>
                <w:sz w:val="20"/>
                <w:szCs w:val="20"/>
              </w:rPr>
            </w:pPr>
            <w:r w:rsidRPr="007D2E87">
              <w:rPr>
                <w:b/>
                <w:bCs/>
                <w:sz w:val="20"/>
                <w:szCs w:val="20"/>
              </w:rPr>
              <w:t>AKTĪVS</w:t>
            </w:r>
          </w:p>
        </w:tc>
        <w:tc>
          <w:tcPr>
            <w:tcW w:w="1843" w:type="dxa"/>
            <w:tcBorders>
              <w:top w:val="single" w:sz="4" w:space="0" w:color="auto"/>
              <w:left w:val="nil"/>
              <w:bottom w:val="single" w:sz="4" w:space="0" w:color="auto"/>
              <w:right w:val="nil"/>
            </w:tcBorders>
            <w:shd w:val="clear" w:color="auto" w:fill="auto"/>
            <w:noWrap/>
            <w:vAlign w:val="bottom"/>
          </w:tcPr>
          <w:p w:rsidR="002409C8" w:rsidRDefault="002409C8" w:rsidP="002B1469">
            <w:pPr>
              <w:pStyle w:val="Parasts1"/>
              <w:jc w:val="center"/>
            </w:pPr>
          </w:p>
        </w:tc>
      </w:tr>
      <w:tr w:rsidR="002409C8" w:rsidTr="002409C8">
        <w:trPr>
          <w:trHeight w:val="315"/>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09C8" w:rsidRPr="00BA2E39" w:rsidRDefault="002409C8" w:rsidP="002B1469">
            <w:pPr>
              <w:pStyle w:val="Parasts1"/>
              <w:rPr>
                <w:b/>
                <w:bCs/>
              </w:rPr>
            </w:pPr>
            <w:r w:rsidRPr="00BA2E39">
              <w:rPr>
                <w:b/>
                <w:bCs/>
              </w:rPr>
              <w:t>Nemateriālie ieguldījumi</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409C8" w:rsidRPr="00A65685" w:rsidRDefault="002409C8" w:rsidP="002B1469">
            <w:pPr>
              <w:pStyle w:val="Parasts1"/>
              <w:jc w:val="center"/>
              <w:rPr>
                <w:b/>
                <w:bCs/>
              </w:rPr>
            </w:pPr>
            <w:r w:rsidRPr="00A65685">
              <w:rPr>
                <w:b/>
                <w:bCs/>
              </w:rPr>
              <w:t>2164</w:t>
            </w:r>
          </w:p>
        </w:tc>
      </w:tr>
      <w:tr w:rsidR="002409C8" w:rsidTr="002409C8">
        <w:trPr>
          <w:trHeight w:val="315"/>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09C8" w:rsidRPr="00BA2E39" w:rsidRDefault="002409C8" w:rsidP="002B1469">
            <w:pPr>
              <w:pStyle w:val="Parasts1"/>
              <w:rPr>
                <w:b/>
                <w:bCs/>
              </w:rPr>
            </w:pPr>
            <w:r w:rsidRPr="00BA2E39">
              <w:rPr>
                <w:b/>
                <w:bCs/>
              </w:rPr>
              <w:t>Pamatlīdzekļi</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409C8" w:rsidRPr="00A65685" w:rsidRDefault="002409C8" w:rsidP="002B1469">
            <w:pPr>
              <w:pStyle w:val="Parasts1"/>
              <w:jc w:val="center"/>
              <w:rPr>
                <w:b/>
                <w:bCs/>
              </w:rPr>
            </w:pPr>
          </w:p>
        </w:tc>
      </w:tr>
      <w:tr w:rsidR="002409C8" w:rsidTr="002409C8">
        <w:trPr>
          <w:trHeight w:val="315"/>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09C8" w:rsidRPr="007A66FB" w:rsidRDefault="002409C8" w:rsidP="002B1469">
            <w:pPr>
              <w:pStyle w:val="Parasts1"/>
            </w:pPr>
            <w:r w:rsidRPr="007A66FB">
              <w:t>Pārējie pamatlīdzekļi un inventārs</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409C8" w:rsidRPr="00A65685" w:rsidRDefault="002409C8" w:rsidP="002B1469">
            <w:pPr>
              <w:pStyle w:val="Parasts1"/>
              <w:jc w:val="center"/>
            </w:pPr>
            <w:r w:rsidRPr="00A65685">
              <w:t>89896</w:t>
            </w:r>
          </w:p>
        </w:tc>
      </w:tr>
      <w:tr w:rsidR="002409C8" w:rsidTr="002409C8">
        <w:trPr>
          <w:trHeight w:val="315"/>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09C8" w:rsidRPr="00BA2E39" w:rsidRDefault="002409C8" w:rsidP="002B1469">
            <w:pPr>
              <w:pStyle w:val="Parasts1"/>
              <w:rPr>
                <w:b/>
              </w:rPr>
            </w:pPr>
            <w:r w:rsidRPr="00BA2E39">
              <w:rPr>
                <w:b/>
              </w:rPr>
              <w:t>Pamatlīdzekļi kopā</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409C8" w:rsidRPr="00A65685" w:rsidRDefault="002409C8" w:rsidP="002B1469">
            <w:pPr>
              <w:pStyle w:val="Parasts1"/>
              <w:jc w:val="center"/>
              <w:rPr>
                <w:b/>
              </w:rPr>
            </w:pPr>
            <w:r w:rsidRPr="00A65685">
              <w:rPr>
                <w:b/>
              </w:rPr>
              <w:t>89896</w:t>
            </w:r>
          </w:p>
        </w:tc>
      </w:tr>
      <w:tr w:rsidR="002409C8" w:rsidTr="002409C8">
        <w:trPr>
          <w:trHeight w:val="315"/>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09C8" w:rsidRPr="00BA2E39" w:rsidRDefault="002409C8" w:rsidP="002B1469">
            <w:pPr>
              <w:pStyle w:val="Parasts1"/>
              <w:rPr>
                <w:b/>
              </w:rPr>
            </w:pPr>
            <w:r w:rsidRPr="00BA2E39">
              <w:rPr>
                <w:b/>
              </w:rPr>
              <w:t>Ilgtermiņa ieguldījumi kopā</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409C8" w:rsidRPr="00A65685" w:rsidRDefault="002409C8" w:rsidP="002B1469">
            <w:pPr>
              <w:pStyle w:val="Parasts1"/>
              <w:jc w:val="center"/>
              <w:rPr>
                <w:b/>
              </w:rPr>
            </w:pPr>
            <w:r w:rsidRPr="00A65685">
              <w:rPr>
                <w:b/>
              </w:rPr>
              <w:t>92060</w:t>
            </w:r>
          </w:p>
        </w:tc>
      </w:tr>
      <w:tr w:rsidR="002409C8" w:rsidTr="002409C8">
        <w:trPr>
          <w:trHeight w:val="315"/>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09C8" w:rsidRPr="00033853" w:rsidRDefault="002409C8" w:rsidP="002B1469">
            <w:pPr>
              <w:pStyle w:val="Parasts1"/>
              <w:rPr>
                <w:b/>
              </w:rPr>
            </w:pPr>
            <w:r w:rsidRPr="00033853">
              <w:rPr>
                <w:b/>
              </w:rPr>
              <w:t>Apgrozāmie līdzekļi</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409C8" w:rsidRPr="00A65685" w:rsidRDefault="002409C8" w:rsidP="002B1469">
            <w:pPr>
              <w:pStyle w:val="Parasts1"/>
              <w:jc w:val="center"/>
              <w:rPr>
                <w:b/>
              </w:rPr>
            </w:pPr>
          </w:p>
        </w:tc>
      </w:tr>
      <w:tr w:rsidR="002409C8" w:rsidTr="002409C8">
        <w:trPr>
          <w:trHeight w:val="212"/>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09C8" w:rsidRPr="00BA2E39" w:rsidRDefault="002409C8" w:rsidP="002B1469">
            <w:pPr>
              <w:pStyle w:val="Parasts1"/>
              <w:rPr>
                <w:b/>
                <w:bCs/>
              </w:rPr>
            </w:pPr>
            <w:r w:rsidRPr="00BA2E39">
              <w:rPr>
                <w:b/>
                <w:bCs/>
              </w:rPr>
              <w:t>Krājumi</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409C8" w:rsidRPr="00A65685" w:rsidRDefault="002409C8" w:rsidP="002B1469">
            <w:pPr>
              <w:pStyle w:val="Parasts1"/>
              <w:jc w:val="center"/>
              <w:rPr>
                <w:b/>
                <w:bCs/>
              </w:rPr>
            </w:pPr>
          </w:p>
        </w:tc>
      </w:tr>
      <w:tr w:rsidR="002409C8" w:rsidTr="002409C8">
        <w:trPr>
          <w:trHeight w:val="315"/>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09C8" w:rsidRPr="007A66FB" w:rsidRDefault="002409C8" w:rsidP="002B1469">
            <w:pPr>
              <w:pStyle w:val="Parasts1"/>
              <w:rPr>
                <w:bCs/>
              </w:rPr>
            </w:pPr>
            <w:r w:rsidRPr="007A66FB">
              <w:rPr>
                <w:bCs/>
              </w:rPr>
              <w:t>Izejvielas un materiāli</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409C8" w:rsidRPr="00A65685" w:rsidRDefault="002409C8" w:rsidP="002B1469">
            <w:pPr>
              <w:pStyle w:val="Parasts1"/>
              <w:jc w:val="center"/>
              <w:rPr>
                <w:bCs/>
              </w:rPr>
            </w:pPr>
            <w:r w:rsidRPr="00A65685">
              <w:rPr>
                <w:bCs/>
              </w:rPr>
              <w:t>39</w:t>
            </w:r>
          </w:p>
        </w:tc>
      </w:tr>
      <w:tr w:rsidR="002409C8" w:rsidTr="002409C8">
        <w:trPr>
          <w:trHeight w:val="315"/>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09C8" w:rsidRPr="007A66FB" w:rsidRDefault="002409C8" w:rsidP="002B1469">
            <w:pPr>
              <w:pStyle w:val="Parasts1"/>
              <w:rPr>
                <w:bCs/>
              </w:rPr>
            </w:pPr>
            <w:r>
              <w:rPr>
                <w:bCs/>
              </w:rPr>
              <w:t>Gatavie ražojumi un preces pārdošanai</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409C8" w:rsidRPr="00A65685" w:rsidRDefault="002409C8" w:rsidP="002B1469">
            <w:pPr>
              <w:pStyle w:val="Parasts1"/>
              <w:jc w:val="center"/>
              <w:rPr>
                <w:bCs/>
              </w:rPr>
            </w:pPr>
            <w:r w:rsidRPr="00A65685">
              <w:rPr>
                <w:bCs/>
              </w:rPr>
              <w:t>1736</w:t>
            </w:r>
          </w:p>
        </w:tc>
      </w:tr>
      <w:tr w:rsidR="002409C8" w:rsidTr="002409C8">
        <w:trPr>
          <w:trHeight w:val="315"/>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09C8" w:rsidRDefault="002409C8" w:rsidP="002B1469">
            <w:pPr>
              <w:pStyle w:val="Parasts1"/>
              <w:rPr>
                <w:bCs/>
              </w:rPr>
            </w:pPr>
            <w:r>
              <w:rPr>
                <w:bCs/>
              </w:rPr>
              <w:t>Avansa maksājumi par precēm</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409C8" w:rsidRPr="00A65685" w:rsidRDefault="002409C8" w:rsidP="002B1469">
            <w:pPr>
              <w:pStyle w:val="Parasts1"/>
              <w:jc w:val="center"/>
              <w:rPr>
                <w:bCs/>
              </w:rPr>
            </w:pPr>
            <w:r w:rsidRPr="00A65685">
              <w:rPr>
                <w:bCs/>
              </w:rPr>
              <w:t>481</w:t>
            </w:r>
          </w:p>
        </w:tc>
      </w:tr>
      <w:tr w:rsidR="002409C8" w:rsidTr="002409C8">
        <w:trPr>
          <w:trHeight w:val="315"/>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09C8" w:rsidRPr="00BA2E39" w:rsidRDefault="002409C8" w:rsidP="002B1469">
            <w:pPr>
              <w:pStyle w:val="Parasts1"/>
              <w:rPr>
                <w:b/>
                <w:bCs/>
              </w:rPr>
            </w:pPr>
            <w:r w:rsidRPr="00BA2E39">
              <w:rPr>
                <w:b/>
                <w:bCs/>
              </w:rPr>
              <w:t>Krājumi kopā</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409C8" w:rsidRPr="00A65685" w:rsidRDefault="002409C8" w:rsidP="002B1469">
            <w:pPr>
              <w:pStyle w:val="Parasts1"/>
              <w:jc w:val="center"/>
              <w:rPr>
                <w:b/>
                <w:bCs/>
              </w:rPr>
            </w:pPr>
            <w:r w:rsidRPr="00A65685">
              <w:rPr>
                <w:b/>
                <w:bCs/>
              </w:rPr>
              <w:t>2256</w:t>
            </w:r>
          </w:p>
        </w:tc>
      </w:tr>
      <w:tr w:rsidR="002409C8" w:rsidTr="002409C8">
        <w:trPr>
          <w:trHeight w:val="315"/>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09C8" w:rsidRPr="007A66FB" w:rsidRDefault="002409C8" w:rsidP="002B1469">
            <w:pPr>
              <w:pStyle w:val="Parasts1"/>
            </w:pPr>
            <w:r>
              <w:t>Pircēju un pasūtītāju parādi</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409C8" w:rsidRPr="00A65685" w:rsidRDefault="002409C8" w:rsidP="002B1469">
            <w:pPr>
              <w:pStyle w:val="Parasts1"/>
              <w:jc w:val="center"/>
            </w:pPr>
            <w:r w:rsidRPr="00A65685">
              <w:t>18822</w:t>
            </w:r>
          </w:p>
        </w:tc>
      </w:tr>
      <w:tr w:rsidR="002409C8" w:rsidTr="002409C8">
        <w:trPr>
          <w:trHeight w:val="315"/>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09C8" w:rsidRPr="007A66FB" w:rsidRDefault="002409C8" w:rsidP="002B1469">
            <w:pPr>
              <w:pStyle w:val="Parasts1"/>
            </w:pPr>
            <w:r>
              <w:t>Citi debitori</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409C8" w:rsidRPr="00A65685" w:rsidRDefault="002409C8" w:rsidP="002B1469">
            <w:pPr>
              <w:pStyle w:val="Parasts1"/>
              <w:jc w:val="center"/>
            </w:pPr>
            <w:r w:rsidRPr="00A65685">
              <w:t>1351</w:t>
            </w:r>
          </w:p>
        </w:tc>
      </w:tr>
      <w:tr w:rsidR="002409C8" w:rsidTr="002409C8">
        <w:trPr>
          <w:trHeight w:val="315"/>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09C8" w:rsidRPr="007A66FB" w:rsidRDefault="002409C8" w:rsidP="002B1469">
            <w:pPr>
              <w:pStyle w:val="Parasts1"/>
            </w:pPr>
            <w:r w:rsidRPr="007A66FB">
              <w:t>Nākamo periodu izmaksas</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409C8" w:rsidRPr="00A65685" w:rsidRDefault="002409C8" w:rsidP="002B1469">
            <w:pPr>
              <w:pStyle w:val="Parasts1"/>
              <w:jc w:val="center"/>
            </w:pPr>
            <w:r w:rsidRPr="00A65685">
              <w:t>13986</w:t>
            </w:r>
          </w:p>
        </w:tc>
      </w:tr>
      <w:tr w:rsidR="002409C8" w:rsidTr="002409C8">
        <w:trPr>
          <w:trHeight w:val="197"/>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09C8" w:rsidRPr="00BA2E39" w:rsidRDefault="002409C8" w:rsidP="002B1469">
            <w:pPr>
              <w:pStyle w:val="Parasts1"/>
              <w:rPr>
                <w:b/>
              </w:rPr>
            </w:pPr>
            <w:r w:rsidRPr="00BA2E39">
              <w:rPr>
                <w:b/>
              </w:rPr>
              <w:t>Debitori</w:t>
            </w:r>
            <w:r w:rsidRPr="00BA2E39">
              <w:rPr>
                <w:b/>
                <w:bCs/>
              </w:rPr>
              <w:t xml:space="preserve"> kopā</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409C8" w:rsidRPr="00A65685" w:rsidRDefault="002409C8" w:rsidP="002B1469">
            <w:pPr>
              <w:pStyle w:val="Parasts1"/>
              <w:jc w:val="center"/>
              <w:rPr>
                <w:b/>
              </w:rPr>
            </w:pPr>
            <w:r w:rsidRPr="00A65685">
              <w:rPr>
                <w:b/>
              </w:rPr>
              <w:t>34159</w:t>
            </w:r>
          </w:p>
        </w:tc>
      </w:tr>
      <w:tr w:rsidR="002409C8" w:rsidTr="002409C8">
        <w:trPr>
          <w:trHeight w:val="188"/>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09C8" w:rsidRPr="00BA2E39" w:rsidRDefault="002409C8" w:rsidP="002B1469">
            <w:pPr>
              <w:pStyle w:val="Parasts1"/>
              <w:rPr>
                <w:b/>
                <w:bCs/>
              </w:rPr>
            </w:pPr>
            <w:r w:rsidRPr="00BA2E39">
              <w:rPr>
                <w:b/>
                <w:bCs/>
              </w:rPr>
              <w:t>Nauda</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409C8" w:rsidRPr="00A65685" w:rsidRDefault="002409C8" w:rsidP="002B1469">
            <w:pPr>
              <w:pStyle w:val="Parasts1"/>
              <w:jc w:val="center"/>
              <w:rPr>
                <w:b/>
                <w:bCs/>
              </w:rPr>
            </w:pPr>
            <w:r w:rsidRPr="00A65685">
              <w:rPr>
                <w:b/>
                <w:bCs/>
              </w:rPr>
              <w:t>60689</w:t>
            </w:r>
          </w:p>
        </w:tc>
      </w:tr>
      <w:tr w:rsidR="002409C8" w:rsidTr="002409C8">
        <w:trPr>
          <w:trHeight w:val="250"/>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09C8" w:rsidRPr="00BA2E39" w:rsidRDefault="002409C8" w:rsidP="002B1469">
            <w:pPr>
              <w:pStyle w:val="Parasts1"/>
              <w:rPr>
                <w:b/>
              </w:rPr>
            </w:pPr>
            <w:r w:rsidRPr="00BA2E39">
              <w:rPr>
                <w:b/>
              </w:rPr>
              <w:t>Apgrozāmie līdzekļi kopā</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409C8" w:rsidRPr="00A65685" w:rsidRDefault="002409C8" w:rsidP="002B1469">
            <w:pPr>
              <w:pStyle w:val="Parasts1"/>
              <w:jc w:val="center"/>
              <w:rPr>
                <w:b/>
              </w:rPr>
            </w:pPr>
            <w:r w:rsidRPr="00A65685">
              <w:rPr>
                <w:b/>
              </w:rPr>
              <w:t>97104</w:t>
            </w:r>
          </w:p>
        </w:tc>
      </w:tr>
      <w:tr w:rsidR="002409C8" w:rsidTr="002409C8">
        <w:trPr>
          <w:trHeight w:val="227"/>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09C8" w:rsidRPr="00BA2E39" w:rsidRDefault="002409C8" w:rsidP="002B1469">
            <w:pPr>
              <w:pStyle w:val="Parasts1"/>
              <w:jc w:val="right"/>
              <w:rPr>
                <w:b/>
              </w:rPr>
            </w:pPr>
            <w:r w:rsidRPr="00BA2E39">
              <w:rPr>
                <w:b/>
              </w:rPr>
              <w:t>BILANCE</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409C8" w:rsidRPr="00A65685" w:rsidRDefault="002409C8" w:rsidP="002B1469">
            <w:pPr>
              <w:pStyle w:val="Parasts1"/>
              <w:jc w:val="center"/>
              <w:rPr>
                <w:b/>
              </w:rPr>
            </w:pPr>
            <w:r w:rsidRPr="00A65685">
              <w:rPr>
                <w:b/>
              </w:rPr>
              <w:t>189164</w:t>
            </w:r>
          </w:p>
        </w:tc>
      </w:tr>
      <w:tr w:rsidR="002409C8" w:rsidTr="002409C8">
        <w:trPr>
          <w:trHeight w:val="211"/>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09C8" w:rsidRPr="007D2E87" w:rsidRDefault="002409C8" w:rsidP="002B1469">
            <w:pPr>
              <w:pStyle w:val="Parasts1"/>
              <w:jc w:val="center"/>
              <w:rPr>
                <w:b/>
                <w:bCs/>
                <w:sz w:val="20"/>
                <w:szCs w:val="20"/>
              </w:rPr>
            </w:pPr>
            <w:r w:rsidRPr="007D2E87">
              <w:rPr>
                <w:b/>
                <w:bCs/>
                <w:sz w:val="20"/>
                <w:szCs w:val="20"/>
              </w:rPr>
              <w:t>PASĪVS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09C8" w:rsidRPr="00A65685" w:rsidRDefault="002409C8" w:rsidP="002B1469">
            <w:pPr>
              <w:pStyle w:val="Parasts1"/>
              <w:jc w:val="center"/>
            </w:pPr>
          </w:p>
        </w:tc>
      </w:tr>
      <w:tr w:rsidR="002409C8" w:rsidTr="002409C8">
        <w:trPr>
          <w:trHeight w:val="221"/>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09C8" w:rsidRPr="00BA2E39" w:rsidRDefault="002409C8" w:rsidP="002B1469">
            <w:pPr>
              <w:pStyle w:val="Parasts1"/>
              <w:rPr>
                <w:b/>
                <w:bCs/>
              </w:rPr>
            </w:pPr>
            <w:r w:rsidRPr="00BA2E39">
              <w:rPr>
                <w:b/>
                <w:bCs/>
              </w:rPr>
              <w:t>Pašu kapitāls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09C8" w:rsidRPr="00A65685" w:rsidRDefault="002409C8" w:rsidP="002B1469">
            <w:pPr>
              <w:pStyle w:val="Parasts1"/>
              <w:jc w:val="center"/>
            </w:pPr>
          </w:p>
        </w:tc>
      </w:tr>
      <w:tr w:rsidR="002409C8" w:rsidTr="002409C8">
        <w:trPr>
          <w:trHeight w:val="315"/>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09C8" w:rsidRPr="00BA2E39" w:rsidRDefault="002409C8" w:rsidP="002B1469">
            <w:pPr>
              <w:pStyle w:val="Parasts1"/>
              <w:rPr>
                <w:b/>
                <w:bCs/>
              </w:rPr>
            </w:pPr>
            <w:r w:rsidRPr="00BA2E39">
              <w:rPr>
                <w:b/>
                <w:bCs/>
              </w:rPr>
              <w:t>Pamatkapitāls</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409C8" w:rsidRPr="00A65685" w:rsidRDefault="002409C8" w:rsidP="002B1469">
            <w:pPr>
              <w:pStyle w:val="Parasts1"/>
              <w:jc w:val="center"/>
              <w:rPr>
                <w:b/>
                <w:bCs/>
              </w:rPr>
            </w:pPr>
            <w:r w:rsidRPr="00A65685">
              <w:rPr>
                <w:b/>
                <w:bCs/>
              </w:rPr>
              <w:t>233166</w:t>
            </w:r>
          </w:p>
        </w:tc>
      </w:tr>
      <w:tr w:rsidR="002409C8" w:rsidTr="002409C8">
        <w:trPr>
          <w:trHeight w:val="187"/>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09C8" w:rsidRPr="007A66FB" w:rsidRDefault="002409C8" w:rsidP="002B1469">
            <w:pPr>
              <w:pStyle w:val="Parasts1"/>
              <w:rPr>
                <w:bCs/>
              </w:rPr>
            </w:pPr>
            <w:r w:rsidRPr="007A66FB">
              <w:rPr>
                <w:bCs/>
              </w:rPr>
              <w:t>Nesadalītā peļņa</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409C8" w:rsidRPr="00A65685" w:rsidRDefault="002409C8" w:rsidP="002B1469">
            <w:pPr>
              <w:pStyle w:val="Parasts1"/>
              <w:jc w:val="center"/>
              <w:rPr>
                <w:b/>
                <w:bCs/>
              </w:rPr>
            </w:pPr>
          </w:p>
        </w:tc>
      </w:tr>
      <w:tr w:rsidR="002409C8" w:rsidTr="002409C8">
        <w:trPr>
          <w:trHeight w:val="192"/>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09C8" w:rsidRPr="007A66FB" w:rsidRDefault="002409C8" w:rsidP="002B1469">
            <w:pPr>
              <w:pStyle w:val="Parasts1"/>
              <w:jc w:val="right"/>
            </w:pPr>
            <w:r w:rsidRPr="007A66FB">
              <w:t>Iepriekšējo gadu nesadalītā peļņa</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409C8" w:rsidRPr="00A65685" w:rsidRDefault="002409C8" w:rsidP="002B1469">
            <w:pPr>
              <w:pStyle w:val="Parasts1"/>
              <w:jc w:val="center"/>
            </w:pPr>
            <w:r w:rsidRPr="00A65685">
              <w:t>-119495</w:t>
            </w:r>
          </w:p>
        </w:tc>
      </w:tr>
      <w:tr w:rsidR="002409C8" w:rsidTr="002409C8">
        <w:trPr>
          <w:trHeight w:val="181"/>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09C8" w:rsidRPr="007A66FB" w:rsidRDefault="002409C8" w:rsidP="002B1469">
            <w:pPr>
              <w:pStyle w:val="Parasts1"/>
              <w:jc w:val="right"/>
            </w:pPr>
            <w:r w:rsidRPr="007A66FB">
              <w:t>Pārskata gada nesadalītā peļņa</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409C8" w:rsidRPr="00A65685" w:rsidRDefault="002409C8" w:rsidP="002B1469">
            <w:pPr>
              <w:pStyle w:val="Parasts1"/>
              <w:jc w:val="center"/>
            </w:pPr>
            <w:r w:rsidRPr="00A65685">
              <w:t>6089</w:t>
            </w:r>
          </w:p>
        </w:tc>
      </w:tr>
      <w:tr w:rsidR="002409C8" w:rsidTr="002409C8">
        <w:trPr>
          <w:trHeight w:val="172"/>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09C8" w:rsidRPr="00BA2E39" w:rsidRDefault="002409C8" w:rsidP="002B1469">
            <w:pPr>
              <w:pStyle w:val="Parasts1"/>
              <w:rPr>
                <w:b/>
              </w:rPr>
            </w:pPr>
            <w:r w:rsidRPr="00BA2E39">
              <w:rPr>
                <w:b/>
                <w:bCs/>
              </w:rPr>
              <w:t>Pašu kapitāls kopā</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409C8" w:rsidRPr="00A65685" w:rsidRDefault="002409C8" w:rsidP="002B1469">
            <w:pPr>
              <w:pStyle w:val="Parasts1"/>
              <w:jc w:val="center"/>
              <w:rPr>
                <w:b/>
              </w:rPr>
            </w:pPr>
            <w:r w:rsidRPr="00A65685">
              <w:rPr>
                <w:b/>
              </w:rPr>
              <w:t>119760</w:t>
            </w:r>
          </w:p>
        </w:tc>
      </w:tr>
      <w:tr w:rsidR="002409C8" w:rsidTr="002409C8">
        <w:trPr>
          <w:trHeight w:val="161"/>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09C8" w:rsidRPr="00BA2E39" w:rsidRDefault="002409C8" w:rsidP="002B1469">
            <w:pPr>
              <w:pStyle w:val="Parasts1"/>
              <w:rPr>
                <w:b/>
                <w:bCs/>
              </w:rPr>
            </w:pPr>
            <w:r w:rsidRPr="00BA2E39">
              <w:rPr>
                <w:b/>
                <w:bCs/>
              </w:rPr>
              <w:lastRenderedPageBreak/>
              <w:t>Uzkrājumi</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409C8" w:rsidRPr="00A65685" w:rsidRDefault="002409C8" w:rsidP="002B1469">
            <w:pPr>
              <w:pStyle w:val="Parasts1"/>
              <w:jc w:val="center"/>
              <w:rPr>
                <w:b/>
              </w:rPr>
            </w:pPr>
          </w:p>
        </w:tc>
      </w:tr>
      <w:tr w:rsidR="002409C8" w:rsidTr="002409C8">
        <w:trPr>
          <w:trHeight w:val="166"/>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09C8" w:rsidRPr="00BA2E39" w:rsidRDefault="002409C8" w:rsidP="002B1469">
            <w:pPr>
              <w:pStyle w:val="Parasts1"/>
              <w:rPr>
                <w:b/>
                <w:bCs/>
              </w:rPr>
            </w:pPr>
            <w:r w:rsidRPr="00BA2E39">
              <w:rPr>
                <w:b/>
                <w:bCs/>
              </w:rPr>
              <w:t>Citi uzkrājumi</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409C8" w:rsidRPr="00A65685" w:rsidRDefault="002409C8" w:rsidP="002B1469">
            <w:pPr>
              <w:pStyle w:val="Parasts1"/>
              <w:jc w:val="center"/>
              <w:rPr>
                <w:b/>
              </w:rPr>
            </w:pPr>
            <w:r w:rsidRPr="00A65685">
              <w:rPr>
                <w:b/>
              </w:rPr>
              <w:t>20637</w:t>
            </w:r>
          </w:p>
        </w:tc>
      </w:tr>
      <w:tr w:rsidR="002409C8" w:rsidTr="002409C8">
        <w:trPr>
          <w:trHeight w:val="158"/>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09C8" w:rsidRPr="00033853" w:rsidRDefault="002409C8" w:rsidP="002B1469">
            <w:pPr>
              <w:pStyle w:val="Parasts1"/>
              <w:rPr>
                <w:b/>
                <w:bCs/>
              </w:rPr>
            </w:pPr>
            <w:r w:rsidRPr="00033853">
              <w:rPr>
                <w:b/>
                <w:bCs/>
              </w:rPr>
              <w:t>Īstermiņa kreditori</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409C8" w:rsidRPr="00A65685" w:rsidRDefault="002409C8" w:rsidP="002B1469">
            <w:pPr>
              <w:pStyle w:val="Parasts1"/>
              <w:jc w:val="center"/>
              <w:rPr>
                <w:b/>
                <w:bCs/>
              </w:rPr>
            </w:pPr>
          </w:p>
        </w:tc>
      </w:tr>
      <w:tr w:rsidR="002409C8" w:rsidTr="002409C8">
        <w:trPr>
          <w:trHeight w:val="315"/>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09C8" w:rsidRPr="006517C9" w:rsidRDefault="002409C8" w:rsidP="002B1469">
            <w:pPr>
              <w:pStyle w:val="Parasts1"/>
              <w:rPr>
                <w:color w:val="2E74B5" w:themeColor="accent1" w:themeShade="BF"/>
                <w:sz w:val="22"/>
                <w:szCs w:val="22"/>
              </w:rPr>
            </w:pPr>
            <w:r>
              <w:rPr>
                <w:color w:val="2E74B5" w:themeColor="accent1" w:themeShade="BF"/>
                <w:sz w:val="22"/>
                <w:szCs w:val="22"/>
              </w:rPr>
              <w:t>Saņemtie avansi</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409C8" w:rsidRPr="00A65685" w:rsidRDefault="002409C8" w:rsidP="002B1469">
            <w:pPr>
              <w:pStyle w:val="Parasts1"/>
              <w:jc w:val="center"/>
            </w:pPr>
            <w:r w:rsidRPr="00A65685">
              <w:t>1754</w:t>
            </w:r>
          </w:p>
        </w:tc>
      </w:tr>
      <w:tr w:rsidR="002409C8" w:rsidTr="002409C8">
        <w:trPr>
          <w:trHeight w:val="252"/>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09C8" w:rsidRPr="007D2E87" w:rsidRDefault="002409C8" w:rsidP="002B1469">
            <w:pPr>
              <w:pStyle w:val="Parasts1"/>
              <w:rPr>
                <w:sz w:val="22"/>
                <w:szCs w:val="22"/>
              </w:rPr>
            </w:pPr>
            <w:r w:rsidRPr="007D2E87">
              <w:rPr>
                <w:sz w:val="22"/>
                <w:szCs w:val="22"/>
              </w:rPr>
              <w:t>Parādi piegādātājiem un darbuzņēmējiem</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409C8" w:rsidRPr="00A65685" w:rsidRDefault="002409C8" w:rsidP="002B1469">
            <w:pPr>
              <w:pStyle w:val="Parasts1"/>
              <w:jc w:val="center"/>
            </w:pPr>
            <w:r w:rsidRPr="00A65685">
              <w:t>6159</w:t>
            </w:r>
          </w:p>
        </w:tc>
      </w:tr>
      <w:tr w:rsidR="002409C8" w:rsidRPr="008553F2" w:rsidTr="002409C8">
        <w:trPr>
          <w:trHeight w:val="255"/>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09C8" w:rsidRPr="007A66FB" w:rsidRDefault="002409C8" w:rsidP="002B1469">
            <w:pPr>
              <w:pStyle w:val="Parasts1"/>
            </w:pPr>
            <w:r w:rsidRPr="007A66FB">
              <w:t>Nodokļi un VSAOI</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409C8" w:rsidRPr="00A65685" w:rsidRDefault="002409C8" w:rsidP="002B1469">
            <w:pPr>
              <w:pStyle w:val="Parasts1"/>
              <w:jc w:val="center"/>
            </w:pPr>
            <w:r w:rsidRPr="00A65685">
              <w:t>6594</w:t>
            </w:r>
          </w:p>
        </w:tc>
      </w:tr>
      <w:tr w:rsidR="002409C8" w:rsidRPr="008553F2" w:rsidTr="002409C8">
        <w:trPr>
          <w:trHeight w:val="315"/>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09C8" w:rsidRPr="007A66FB" w:rsidRDefault="002409C8" w:rsidP="002B1469">
            <w:pPr>
              <w:pStyle w:val="Parasts1"/>
            </w:pPr>
            <w:r w:rsidRPr="007A66FB">
              <w:t>Pārējie kreditori</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409C8" w:rsidRPr="00A65685" w:rsidRDefault="002409C8" w:rsidP="002B1469">
            <w:pPr>
              <w:pStyle w:val="Parasts1"/>
              <w:jc w:val="center"/>
            </w:pPr>
            <w:r w:rsidRPr="00A65685">
              <w:t>9262</w:t>
            </w:r>
          </w:p>
        </w:tc>
      </w:tr>
      <w:tr w:rsidR="002409C8" w:rsidRPr="008553F2" w:rsidTr="002409C8">
        <w:trPr>
          <w:trHeight w:val="315"/>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09C8" w:rsidRPr="007A66FB" w:rsidRDefault="002409C8" w:rsidP="002B1469">
            <w:pPr>
              <w:pStyle w:val="Parasts1"/>
            </w:pPr>
            <w:r>
              <w:t>Nākamo periodu ieņēmumi</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409C8" w:rsidRPr="00A65685" w:rsidRDefault="002409C8" w:rsidP="002B1469">
            <w:pPr>
              <w:pStyle w:val="Parasts1"/>
              <w:jc w:val="center"/>
            </w:pPr>
            <w:r w:rsidRPr="00A65685">
              <w:t>10648</w:t>
            </w:r>
          </w:p>
        </w:tc>
      </w:tr>
      <w:tr w:rsidR="002409C8" w:rsidRPr="008553F2" w:rsidTr="002409C8">
        <w:trPr>
          <w:trHeight w:val="315"/>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09C8" w:rsidRPr="007A66FB" w:rsidRDefault="002409C8" w:rsidP="002B1469">
            <w:pPr>
              <w:pStyle w:val="Parasts1"/>
            </w:pPr>
            <w:r w:rsidRPr="007A66FB">
              <w:t>Uzkrātās saistības</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409C8" w:rsidRPr="00A65685" w:rsidRDefault="002409C8" w:rsidP="002B1469">
            <w:pPr>
              <w:pStyle w:val="Parasts1"/>
              <w:jc w:val="center"/>
            </w:pPr>
            <w:r w:rsidRPr="00A65685">
              <w:t>14350</w:t>
            </w:r>
          </w:p>
        </w:tc>
      </w:tr>
      <w:tr w:rsidR="002409C8" w:rsidTr="002409C8">
        <w:trPr>
          <w:trHeight w:val="315"/>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09C8" w:rsidRPr="00BA2E39" w:rsidRDefault="002409C8" w:rsidP="002B1469">
            <w:pPr>
              <w:pStyle w:val="Parasts1"/>
              <w:rPr>
                <w:b/>
                <w:bCs/>
              </w:rPr>
            </w:pPr>
            <w:r w:rsidRPr="00BA2E39">
              <w:rPr>
                <w:b/>
                <w:bCs/>
              </w:rPr>
              <w:t>Īstermiņa kreditori kopā</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409C8" w:rsidRPr="00A65685" w:rsidRDefault="002409C8" w:rsidP="002B1469">
            <w:pPr>
              <w:pStyle w:val="Parasts1"/>
              <w:jc w:val="center"/>
              <w:rPr>
                <w:b/>
                <w:bCs/>
              </w:rPr>
            </w:pPr>
            <w:r w:rsidRPr="00A65685">
              <w:rPr>
                <w:b/>
                <w:bCs/>
              </w:rPr>
              <w:t>48767</w:t>
            </w:r>
          </w:p>
        </w:tc>
      </w:tr>
      <w:tr w:rsidR="002409C8" w:rsidTr="002409C8">
        <w:trPr>
          <w:trHeight w:val="315"/>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09C8" w:rsidRPr="00BA2E39" w:rsidRDefault="002409C8" w:rsidP="002B1469">
            <w:pPr>
              <w:pStyle w:val="Parasts1"/>
              <w:rPr>
                <w:b/>
                <w:bCs/>
              </w:rPr>
            </w:pPr>
            <w:r w:rsidRPr="00BA2E39">
              <w:rPr>
                <w:b/>
                <w:bCs/>
              </w:rPr>
              <w:t>Kreditori kopā</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09C8" w:rsidRPr="00A65685" w:rsidRDefault="002409C8" w:rsidP="002B1469">
            <w:pPr>
              <w:pStyle w:val="Parasts1"/>
              <w:jc w:val="center"/>
              <w:rPr>
                <w:b/>
                <w:bCs/>
              </w:rPr>
            </w:pPr>
            <w:r w:rsidRPr="00A65685">
              <w:rPr>
                <w:b/>
                <w:bCs/>
              </w:rPr>
              <w:t>48767</w:t>
            </w:r>
          </w:p>
        </w:tc>
      </w:tr>
      <w:tr w:rsidR="002409C8" w:rsidTr="002409C8">
        <w:trPr>
          <w:trHeight w:val="315"/>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09C8" w:rsidRPr="00BA2E39" w:rsidRDefault="002409C8" w:rsidP="002B1469">
            <w:pPr>
              <w:pStyle w:val="Parasts1"/>
              <w:jc w:val="right"/>
              <w:rPr>
                <w:b/>
              </w:rPr>
            </w:pPr>
            <w:r w:rsidRPr="00BA2E39">
              <w:rPr>
                <w:b/>
              </w:rPr>
              <w:t>BILANCE</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409C8" w:rsidRPr="00A65685" w:rsidRDefault="002409C8" w:rsidP="002B1469">
            <w:pPr>
              <w:pStyle w:val="Parasts1"/>
              <w:jc w:val="center"/>
              <w:rPr>
                <w:b/>
              </w:rPr>
            </w:pPr>
            <w:r w:rsidRPr="00A65685">
              <w:rPr>
                <w:b/>
              </w:rPr>
              <w:t>189164</w:t>
            </w:r>
          </w:p>
        </w:tc>
      </w:tr>
    </w:tbl>
    <w:p w:rsidR="00C93E8F" w:rsidRDefault="00C93E8F" w:rsidP="00B42FB6">
      <w:pPr>
        <w:jc w:val="center"/>
        <w:rPr>
          <w:rFonts w:ascii="Times New Roman" w:hAnsi="Times New Roman" w:cs="Times New Roman"/>
          <w:b/>
          <w:sz w:val="24"/>
          <w:szCs w:val="24"/>
        </w:rPr>
      </w:pPr>
    </w:p>
    <w:p w:rsidR="00606037" w:rsidRPr="001F7A6C" w:rsidRDefault="00606037" w:rsidP="00606037">
      <w:pPr>
        <w:pStyle w:val="Parasts1"/>
        <w:jc w:val="center"/>
        <w:rPr>
          <w:b/>
        </w:rPr>
      </w:pPr>
      <w:r w:rsidRPr="001F7A6C">
        <w:rPr>
          <w:b/>
        </w:rPr>
        <w:t xml:space="preserve">Peļņas vai zaudējumu aprēķins </w:t>
      </w:r>
    </w:p>
    <w:p w:rsidR="00606037" w:rsidRDefault="00606037" w:rsidP="00606037">
      <w:pPr>
        <w:pStyle w:val="Parasts1"/>
        <w:jc w:val="center"/>
      </w:pPr>
    </w:p>
    <w:p w:rsidR="00606037" w:rsidRDefault="00606037" w:rsidP="00606037">
      <w:pPr>
        <w:pStyle w:val="Parasts1"/>
        <w:jc w:val="center"/>
      </w:pPr>
      <w:r>
        <w:t>(pēc periodu izmaksu metodes)</w:t>
      </w:r>
    </w:p>
    <w:tbl>
      <w:tblPr>
        <w:tblW w:w="935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843"/>
      </w:tblGrid>
      <w:tr w:rsidR="002409C8" w:rsidTr="002409C8">
        <w:trPr>
          <w:trHeight w:val="466"/>
        </w:trPr>
        <w:tc>
          <w:tcPr>
            <w:tcW w:w="7513" w:type="dxa"/>
            <w:shd w:val="clear" w:color="auto" w:fill="auto"/>
            <w:noWrap/>
            <w:vAlign w:val="bottom"/>
          </w:tcPr>
          <w:p w:rsidR="002409C8" w:rsidRPr="00286539" w:rsidRDefault="002409C8" w:rsidP="00606037">
            <w:pPr>
              <w:pStyle w:val="Parasts1"/>
              <w:jc w:val="center"/>
              <w:rPr>
                <w:sz w:val="18"/>
                <w:szCs w:val="18"/>
              </w:rPr>
            </w:pPr>
            <w:r w:rsidRPr="00286539">
              <w:rPr>
                <w:sz w:val="18"/>
                <w:szCs w:val="18"/>
              </w:rPr>
              <w:t>Posteņa nosaukums</w:t>
            </w:r>
          </w:p>
        </w:tc>
        <w:tc>
          <w:tcPr>
            <w:tcW w:w="1843" w:type="dxa"/>
            <w:shd w:val="clear" w:color="auto" w:fill="auto"/>
            <w:noWrap/>
            <w:vAlign w:val="bottom"/>
          </w:tcPr>
          <w:p w:rsidR="002409C8" w:rsidRPr="00286539" w:rsidRDefault="002409C8" w:rsidP="00606037">
            <w:pPr>
              <w:pStyle w:val="Parasts1"/>
              <w:rPr>
                <w:i/>
                <w:iCs/>
                <w:sz w:val="18"/>
                <w:szCs w:val="18"/>
              </w:rPr>
            </w:pPr>
            <w:r w:rsidRPr="00286539">
              <w:rPr>
                <w:iCs/>
                <w:sz w:val="18"/>
                <w:szCs w:val="18"/>
              </w:rPr>
              <w:t xml:space="preserve">Pārskata periodā </w:t>
            </w:r>
          </w:p>
        </w:tc>
      </w:tr>
      <w:tr w:rsidR="002409C8" w:rsidTr="002409C8">
        <w:trPr>
          <w:trHeight w:val="315"/>
        </w:trPr>
        <w:tc>
          <w:tcPr>
            <w:tcW w:w="7513" w:type="dxa"/>
            <w:shd w:val="clear" w:color="auto" w:fill="auto"/>
            <w:noWrap/>
            <w:vAlign w:val="bottom"/>
          </w:tcPr>
          <w:p w:rsidR="002409C8" w:rsidRPr="00BA2E39" w:rsidRDefault="002409C8" w:rsidP="002B1469">
            <w:pPr>
              <w:pStyle w:val="Parasts1"/>
              <w:rPr>
                <w:b/>
                <w:bCs/>
              </w:rPr>
            </w:pPr>
            <w:r w:rsidRPr="007A66FB">
              <w:rPr>
                <w:bCs/>
              </w:rPr>
              <w:t xml:space="preserve"> </w:t>
            </w:r>
            <w:r w:rsidRPr="00BA2E39">
              <w:rPr>
                <w:b/>
                <w:bCs/>
              </w:rPr>
              <w:t xml:space="preserve">Neto apgrozījums </w:t>
            </w:r>
          </w:p>
        </w:tc>
        <w:tc>
          <w:tcPr>
            <w:tcW w:w="1843" w:type="dxa"/>
            <w:shd w:val="clear" w:color="auto" w:fill="auto"/>
            <w:noWrap/>
            <w:vAlign w:val="bottom"/>
          </w:tcPr>
          <w:p w:rsidR="002409C8" w:rsidRPr="00A65685" w:rsidRDefault="002409C8" w:rsidP="002B1469">
            <w:pPr>
              <w:pStyle w:val="Parasts1"/>
              <w:jc w:val="center"/>
              <w:rPr>
                <w:b/>
                <w:bCs/>
              </w:rPr>
            </w:pPr>
            <w:r w:rsidRPr="00A65685">
              <w:rPr>
                <w:b/>
                <w:bCs/>
              </w:rPr>
              <w:t>535372</w:t>
            </w:r>
          </w:p>
        </w:tc>
      </w:tr>
      <w:tr w:rsidR="002409C8" w:rsidTr="002409C8">
        <w:trPr>
          <w:trHeight w:val="315"/>
        </w:trPr>
        <w:tc>
          <w:tcPr>
            <w:tcW w:w="7513" w:type="dxa"/>
            <w:shd w:val="clear" w:color="auto" w:fill="auto"/>
            <w:noWrap/>
            <w:vAlign w:val="bottom"/>
          </w:tcPr>
          <w:p w:rsidR="002409C8" w:rsidRPr="00BA2E39" w:rsidRDefault="002409C8" w:rsidP="002B1469">
            <w:pPr>
              <w:pStyle w:val="Parasts1"/>
              <w:rPr>
                <w:b/>
                <w:bCs/>
              </w:rPr>
            </w:pPr>
            <w:r w:rsidRPr="00BA2E39">
              <w:rPr>
                <w:b/>
                <w:color w:val="000000"/>
              </w:rPr>
              <w:t>Pārējie saimnieciskās darbības ieņēmumi</w:t>
            </w:r>
          </w:p>
        </w:tc>
        <w:tc>
          <w:tcPr>
            <w:tcW w:w="1843" w:type="dxa"/>
            <w:shd w:val="clear" w:color="auto" w:fill="auto"/>
            <w:noWrap/>
            <w:vAlign w:val="bottom"/>
          </w:tcPr>
          <w:p w:rsidR="002409C8" w:rsidRPr="00A65685" w:rsidRDefault="002409C8" w:rsidP="002B1469">
            <w:pPr>
              <w:pStyle w:val="Parasts1"/>
              <w:jc w:val="center"/>
              <w:rPr>
                <w:b/>
                <w:bCs/>
              </w:rPr>
            </w:pPr>
            <w:r w:rsidRPr="00A65685">
              <w:rPr>
                <w:b/>
                <w:bCs/>
              </w:rPr>
              <w:t>955873</w:t>
            </w:r>
          </w:p>
        </w:tc>
      </w:tr>
      <w:tr w:rsidR="002409C8" w:rsidTr="002409C8">
        <w:trPr>
          <w:trHeight w:val="315"/>
        </w:trPr>
        <w:tc>
          <w:tcPr>
            <w:tcW w:w="7513" w:type="dxa"/>
            <w:shd w:val="clear" w:color="auto" w:fill="auto"/>
            <w:noWrap/>
            <w:vAlign w:val="bottom"/>
          </w:tcPr>
          <w:p w:rsidR="002409C8" w:rsidRPr="00BA2E39" w:rsidRDefault="002409C8" w:rsidP="002B1469">
            <w:pPr>
              <w:pStyle w:val="Parasts1"/>
              <w:rPr>
                <w:b/>
              </w:rPr>
            </w:pPr>
            <w:r w:rsidRPr="00BA2E39">
              <w:rPr>
                <w:b/>
              </w:rPr>
              <w:t>Personāla izmaksas</w:t>
            </w:r>
          </w:p>
        </w:tc>
        <w:tc>
          <w:tcPr>
            <w:tcW w:w="1843" w:type="dxa"/>
            <w:shd w:val="clear" w:color="auto" w:fill="auto"/>
            <w:noWrap/>
            <w:vAlign w:val="bottom"/>
          </w:tcPr>
          <w:p w:rsidR="002409C8" w:rsidRPr="00A65685" w:rsidRDefault="002409C8" w:rsidP="002B1469">
            <w:pPr>
              <w:pStyle w:val="Parasts1"/>
              <w:jc w:val="center"/>
              <w:rPr>
                <w:b/>
              </w:rPr>
            </w:pPr>
            <w:r w:rsidRPr="00A65685">
              <w:rPr>
                <w:b/>
              </w:rPr>
              <w:t>533011</w:t>
            </w:r>
          </w:p>
        </w:tc>
      </w:tr>
      <w:tr w:rsidR="002409C8" w:rsidTr="002409C8">
        <w:trPr>
          <w:trHeight w:val="315"/>
        </w:trPr>
        <w:tc>
          <w:tcPr>
            <w:tcW w:w="7513" w:type="dxa"/>
            <w:shd w:val="clear" w:color="auto" w:fill="auto"/>
            <w:noWrap/>
            <w:vAlign w:val="bottom"/>
          </w:tcPr>
          <w:p w:rsidR="002409C8" w:rsidRPr="007A66FB" w:rsidRDefault="002409C8" w:rsidP="002B1469">
            <w:pPr>
              <w:pStyle w:val="Parasts1"/>
            </w:pPr>
            <w:r w:rsidRPr="007A66FB">
              <w:t>Atlīdzība par darbu</w:t>
            </w:r>
          </w:p>
        </w:tc>
        <w:tc>
          <w:tcPr>
            <w:tcW w:w="1843" w:type="dxa"/>
            <w:shd w:val="clear" w:color="auto" w:fill="auto"/>
            <w:noWrap/>
            <w:vAlign w:val="bottom"/>
          </w:tcPr>
          <w:p w:rsidR="002409C8" w:rsidRPr="00A65685" w:rsidRDefault="002409C8" w:rsidP="002B1469">
            <w:pPr>
              <w:pStyle w:val="Parasts1"/>
              <w:jc w:val="center"/>
            </w:pPr>
            <w:r w:rsidRPr="00A65685">
              <w:t>415442</w:t>
            </w:r>
          </w:p>
        </w:tc>
      </w:tr>
      <w:tr w:rsidR="002409C8" w:rsidTr="002409C8">
        <w:trPr>
          <w:trHeight w:val="315"/>
        </w:trPr>
        <w:tc>
          <w:tcPr>
            <w:tcW w:w="7513" w:type="dxa"/>
            <w:shd w:val="clear" w:color="auto" w:fill="auto"/>
            <w:noWrap/>
            <w:vAlign w:val="bottom"/>
          </w:tcPr>
          <w:p w:rsidR="002409C8" w:rsidRPr="007A66FB" w:rsidRDefault="002409C8" w:rsidP="002B1469">
            <w:pPr>
              <w:pStyle w:val="Parasts1"/>
            </w:pPr>
            <w:r w:rsidRPr="007A66FB">
              <w:t>VSAOI</w:t>
            </w:r>
          </w:p>
        </w:tc>
        <w:tc>
          <w:tcPr>
            <w:tcW w:w="1843" w:type="dxa"/>
            <w:shd w:val="clear" w:color="auto" w:fill="auto"/>
            <w:noWrap/>
            <w:vAlign w:val="bottom"/>
          </w:tcPr>
          <w:p w:rsidR="002409C8" w:rsidRPr="00A65685" w:rsidRDefault="002409C8" w:rsidP="002B1469">
            <w:pPr>
              <w:pStyle w:val="Parasts1"/>
              <w:jc w:val="center"/>
            </w:pPr>
            <w:r w:rsidRPr="00A65685">
              <w:t>101478</w:t>
            </w:r>
          </w:p>
        </w:tc>
      </w:tr>
      <w:tr w:rsidR="002409C8" w:rsidTr="002409C8">
        <w:trPr>
          <w:trHeight w:val="315"/>
        </w:trPr>
        <w:tc>
          <w:tcPr>
            <w:tcW w:w="7513" w:type="dxa"/>
            <w:shd w:val="clear" w:color="auto" w:fill="auto"/>
            <w:noWrap/>
            <w:vAlign w:val="bottom"/>
          </w:tcPr>
          <w:p w:rsidR="002409C8" w:rsidRPr="007A66FB" w:rsidRDefault="002409C8" w:rsidP="002B1469">
            <w:pPr>
              <w:pStyle w:val="Parasts1"/>
            </w:pPr>
            <w:r>
              <w:t>Pārējās sociālās nodrošināšanas izmaksas</w:t>
            </w:r>
          </w:p>
        </w:tc>
        <w:tc>
          <w:tcPr>
            <w:tcW w:w="1843" w:type="dxa"/>
            <w:shd w:val="clear" w:color="auto" w:fill="auto"/>
            <w:noWrap/>
            <w:vAlign w:val="bottom"/>
          </w:tcPr>
          <w:p w:rsidR="002409C8" w:rsidRPr="00A65685" w:rsidRDefault="002409C8" w:rsidP="002B1469">
            <w:pPr>
              <w:pStyle w:val="Parasts1"/>
              <w:jc w:val="center"/>
            </w:pPr>
            <w:r w:rsidRPr="00A65685">
              <w:t>16091</w:t>
            </w:r>
          </w:p>
        </w:tc>
      </w:tr>
      <w:tr w:rsidR="002409C8" w:rsidTr="002409C8">
        <w:trPr>
          <w:trHeight w:val="315"/>
        </w:trPr>
        <w:tc>
          <w:tcPr>
            <w:tcW w:w="7513" w:type="dxa"/>
            <w:shd w:val="clear" w:color="auto" w:fill="auto"/>
            <w:noWrap/>
            <w:vAlign w:val="bottom"/>
          </w:tcPr>
          <w:p w:rsidR="002409C8" w:rsidRPr="007A66FB" w:rsidRDefault="002409C8" w:rsidP="002B1469">
            <w:pPr>
              <w:pStyle w:val="Parasts1"/>
            </w:pPr>
            <w:r w:rsidRPr="007A66FB">
              <w:t>Līdzekļu un vērtības norakstīšana</w:t>
            </w:r>
          </w:p>
        </w:tc>
        <w:tc>
          <w:tcPr>
            <w:tcW w:w="1843" w:type="dxa"/>
            <w:shd w:val="clear" w:color="auto" w:fill="auto"/>
            <w:noWrap/>
            <w:vAlign w:val="bottom"/>
          </w:tcPr>
          <w:p w:rsidR="002409C8" w:rsidRPr="00A65685" w:rsidRDefault="002409C8" w:rsidP="002B1469">
            <w:pPr>
              <w:pStyle w:val="Parasts1"/>
              <w:jc w:val="center"/>
              <w:rPr>
                <w:b/>
              </w:rPr>
            </w:pPr>
            <w:r w:rsidRPr="00A65685">
              <w:rPr>
                <w:b/>
              </w:rPr>
              <w:t>16829</w:t>
            </w:r>
          </w:p>
        </w:tc>
      </w:tr>
      <w:tr w:rsidR="002409C8" w:rsidTr="002409C8">
        <w:trPr>
          <w:trHeight w:val="315"/>
        </w:trPr>
        <w:tc>
          <w:tcPr>
            <w:tcW w:w="7513" w:type="dxa"/>
            <w:shd w:val="clear" w:color="auto" w:fill="auto"/>
            <w:noWrap/>
            <w:vAlign w:val="bottom"/>
          </w:tcPr>
          <w:p w:rsidR="002409C8" w:rsidRPr="007A66FB" w:rsidRDefault="002409C8" w:rsidP="002B1469">
            <w:pPr>
              <w:pStyle w:val="Parasts1"/>
            </w:pPr>
            <w:r>
              <w:t>Pamatlīdzekļu un nemateriālo ieguldījumu nolietojums un norakstīšana</w:t>
            </w:r>
          </w:p>
        </w:tc>
        <w:tc>
          <w:tcPr>
            <w:tcW w:w="1843" w:type="dxa"/>
            <w:shd w:val="clear" w:color="auto" w:fill="auto"/>
            <w:noWrap/>
            <w:vAlign w:val="bottom"/>
          </w:tcPr>
          <w:p w:rsidR="002409C8" w:rsidRPr="00A65685" w:rsidRDefault="002409C8" w:rsidP="002B1469">
            <w:pPr>
              <w:pStyle w:val="Parasts1"/>
              <w:jc w:val="center"/>
            </w:pPr>
            <w:r w:rsidRPr="00A65685">
              <w:t>16829</w:t>
            </w:r>
          </w:p>
        </w:tc>
      </w:tr>
      <w:tr w:rsidR="002409C8" w:rsidTr="002409C8">
        <w:trPr>
          <w:trHeight w:val="315"/>
        </w:trPr>
        <w:tc>
          <w:tcPr>
            <w:tcW w:w="7513" w:type="dxa"/>
            <w:shd w:val="clear" w:color="auto" w:fill="auto"/>
            <w:noWrap/>
            <w:vAlign w:val="bottom"/>
          </w:tcPr>
          <w:p w:rsidR="002409C8" w:rsidRPr="006517C9" w:rsidRDefault="002409C8" w:rsidP="002B1469">
            <w:pPr>
              <w:pStyle w:val="Parasts1"/>
              <w:rPr>
                <w:b/>
                <w:bCs/>
                <w:color w:val="2E74B5" w:themeColor="accent1" w:themeShade="BF"/>
              </w:rPr>
            </w:pPr>
            <w:r w:rsidRPr="00606037">
              <w:rPr>
                <w:b/>
                <w:bCs/>
                <w:color w:val="000000" w:themeColor="text1"/>
              </w:rPr>
              <w:t>Pārējās saimnieciskās darbības izmaksas</w:t>
            </w:r>
          </w:p>
        </w:tc>
        <w:tc>
          <w:tcPr>
            <w:tcW w:w="1843" w:type="dxa"/>
            <w:shd w:val="clear" w:color="auto" w:fill="auto"/>
            <w:noWrap/>
            <w:vAlign w:val="bottom"/>
          </w:tcPr>
          <w:p w:rsidR="002409C8" w:rsidRPr="00A65685" w:rsidRDefault="002409C8" w:rsidP="002B1469">
            <w:pPr>
              <w:pStyle w:val="Parasts1"/>
              <w:jc w:val="center"/>
              <w:rPr>
                <w:b/>
              </w:rPr>
            </w:pPr>
            <w:r w:rsidRPr="00A65685">
              <w:rPr>
                <w:b/>
              </w:rPr>
              <w:t>935316</w:t>
            </w:r>
          </w:p>
        </w:tc>
      </w:tr>
      <w:tr w:rsidR="002409C8" w:rsidTr="002409C8">
        <w:trPr>
          <w:trHeight w:val="315"/>
        </w:trPr>
        <w:tc>
          <w:tcPr>
            <w:tcW w:w="7513" w:type="dxa"/>
            <w:shd w:val="clear" w:color="auto" w:fill="auto"/>
            <w:noWrap/>
            <w:vAlign w:val="bottom"/>
          </w:tcPr>
          <w:p w:rsidR="002409C8" w:rsidRPr="007A66FB" w:rsidRDefault="002409C8" w:rsidP="002B1469">
            <w:pPr>
              <w:pStyle w:val="Parasts1"/>
              <w:rPr>
                <w:bCs/>
              </w:rPr>
            </w:pPr>
            <w:r w:rsidRPr="007A66FB">
              <w:rPr>
                <w:bCs/>
              </w:rPr>
              <w:t>Peļņa vai zaudējumi pirms ārkārtas posteņiem</w:t>
            </w:r>
          </w:p>
        </w:tc>
        <w:tc>
          <w:tcPr>
            <w:tcW w:w="1843" w:type="dxa"/>
            <w:shd w:val="clear" w:color="auto" w:fill="auto"/>
            <w:noWrap/>
            <w:vAlign w:val="bottom"/>
          </w:tcPr>
          <w:p w:rsidR="002409C8" w:rsidRPr="00A65685" w:rsidRDefault="002409C8" w:rsidP="002B1469">
            <w:pPr>
              <w:pStyle w:val="Parasts1"/>
              <w:jc w:val="center"/>
              <w:rPr>
                <w:b/>
              </w:rPr>
            </w:pPr>
            <w:r w:rsidRPr="00A65685">
              <w:rPr>
                <w:b/>
              </w:rPr>
              <w:t>6089</w:t>
            </w:r>
          </w:p>
        </w:tc>
      </w:tr>
      <w:tr w:rsidR="002409C8" w:rsidTr="002409C8">
        <w:trPr>
          <w:trHeight w:val="315"/>
        </w:trPr>
        <w:tc>
          <w:tcPr>
            <w:tcW w:w="7513" w:type="dxa"/>
            <w:shd w:val="clear" w:color="auto" w:fill="auto"/>
            <w:noWrap/>
            <w:vAlign w:val="bottom"/>
          </w:tcPr>
          <w:p w:rsidR="002409C8" w:rsidRPr="007A66FB" w:rsidRDefault="002409C8" w:rsidP="002B1469">
            <w:pPr>
              <w:pStyle w:val="Parasts1"/>
              <w:rPr>
                <w:bCs/>
              </w:rPr>
            </w:pPr>
            <w:r w:rsidRPr="007A66FB">
              <w:rPr>
                <w:bCs/>
              </w:rPr>
              <w:t>Peļņa vai zaudējumi pirms nodokļiem</w:t>
            </w:r>
          </w:p>
        </w:tc>
        <w:tc>
          <w:tcPr>
            <w:tcW w:w="1843" w:type="dxa"/>
            <w:shd w:val="clear" w:color="auto" w:fill="auto"/>
            <w:noWrap/>
            <w:vAlign w:val="bottom"/>
          </w:tcPr>
          <w:p w:rsidR="002409C8" w:rsidRPr="00A65685" w:rsidRDefault="002409C8" w:rsidP="002B1469">
            <w:pPr>
              <w:pStyle w:val="Parasts1"/>
              <w:jc w:val="center"/>
              <w:rPr>
                <w:b/>
              </w:rPr>
            </w:pPr>
            <w:r w:rsidRPr="00A65685">
              <w:rPr>
                <w:b/>
              </w:rPr>
              <w:t>6089</w:t>
            </w:r>
          </w:p>
        </w:tc>
      </w:tr>
      <w:tr w:rsidR="002409C8" w:rsidTr="002409C8">
        <w:trPr>
          <w:trHeight w:val="315"/>
        </w:trPr>
        <w:tc>
          <w:tcPr>
            <w:tcW w:w="7513" w:type="dxa"/>
            <w:shd w:val="clear" w:color="auto" w:fill="auto"/>
            <w:noWrap/>
            <w:vAlign w:val="bottom"/>
          </w:tcPr>
          <w:p w:rsidR="002409C8" w:rsidRPr="007A66FB" w:rsidRDefault="002409C8" w:rsidP="002B1469">
            <w:pPr>
              <w:pStyle w:val="Parasts1"/>
              <w:rPr>
                <w:bCs/>
              </w:rPr>
            </w:pPr>
            <w:r w:rsidRPr="007A66FB">
              <w:rPr>
                <w:bCs/>
              </w:rPr>
              <w:t>Uzņēmuma ienākuma nodoklis par pārskata gadu</w:t>
            </w:r>
          </w:p>
        </w:tc>
        <w:tc>
          <w:tcPr>
            <w:tcW w:w="1843" w:type="dxa"/>
            <w:shd w:val="clear" w:color="auto" w:fill="auto"/>
            <w:noWrap/>
            <w:vAlign w:val="bottom"/>
          </w:tcPr>
          <w:p w:rsidR="002409C8" w:rsidRPr="00A65685" w:rsidRDefault="002409C8" w:rsidP="002B1469">
            <w:pPr>
              <w:pStyle w:val="Parasts1"/>
              <w:jc w:val="center"/>
              <w:rPr>
                <w:b/>
                <w:bCs/>
              </w:rPr>
            </w:pPr>
          </w:p>
        </w:tc>
      </w:tr>
      <w:tr w:rsidR="002409C8" w:rsidTr="002409C8">
        <w:trPr>
          <w:trHeight w:val="315"/>
        </w:trPr>
        <w:tc>
          <w:tcPr>
            <w:tcW w:w="7513" w:type="dxa"/>
            <w:shd w:val="clear" w:color="auto" w:fill="auto"/>
            <w:noWrap/>
            <w:vAlign w:val="bottom"/>
          </w:tcPr>
          <w:p w:rsidR="002409C8" w:rsidRPr="007A66FB" w:rsidRDefault="002409C8" w:rsidP="002B1469">
            <w:pPr>
              <w:pStyle w:val="Parasts1"/>
              <w:rPr>
                <w:bCs/>
              </w:rPr>
            </w:pPr>
            <w:r w:rsidRPr="007A66FB">
              <w:rPr>
                <w:bCs/>
              </w:rPr>
              <w:t xml:space="preserve">Pārskata gada peļņa vai zaudējumi </w:t>
            </w:r>
          </w:p>
        </w:tc>
        <w:tc>
          <w:tcPr>
            <w:tcW w:w="1843" w:type="dxa"/>
            <w:shd w:val="clear" w:color="auto" w:fill="auto"/>
            <w:noWrap/>
            <w:vAlign w:val="bottom"/>
          </w:tcPr>
          <w:p w:rsidR="002409C8" w:rsidRPr="00A65685" w:rsidRDefault="002409C8" w:rsidP="002B1469">
            <w:pPr>
              <w:pStyle w:val="Parasts1"/>
              <w:jc w:val="center"/>
              <w:rPr>
                <w:b/>
                <w:bCs/>
              </w:rPr>
            </w:pPr>
            <w:r w:rsidRPr="00A65685">
              <w:rPr>
                <w:b/>
                <w:bCs/>
              </w:rPr>
              <w:t>6089</w:t>
            </w:r>
          </w:p>
        </w:tc>
      </w:tr>
    </w:tbl>
    <w:p w:rsidR="008D2F0B" w:rsidRDefault="008D2F0B" w:rsidP="00B42FB6">
      <w:pPr>
        <w:jc w:val="center"/>
        <w:rPr>
          <w:rFonts w:ascii="Times New Roman" w:hAnsi="Times New Roman" w:cs="Times New Roman"/>
          <w:b/>
          <w:sz w:val="24"/>
          <w:szCs w:val="24"/>
        </w:rPr>
      </w:pPr>
    </w:p>
    <w:p w:rsidR="008D2F0B" w:rsidRDefault="008D2F0B" w:rsidP="00B42FB6">
      <w:pPr>
        <w:jc w:val="center"/>
        <w:rPr>
          <w:rFonts w:ascii="Times New Roman" w:hAnsi="Times New Roman" w:cs="Times New Roman"/>
          <w:b/>
          <w:sz w:val="24"/>
          <w:szCs w:val="24"/>
        </w:rPr>
      </w:pPr>
    </w:p>
    <w:p w:rsidR="00B42FB6" w:rsidRDefault="00B42FB6" w:rsidP="00B42FB6">
      <w:pPr>
        <w:pStyle w:val="Parasts1"/>
        <w:spacing w:line="276" w:lineRule="auto"/>
        <w:jc w:val="both"/>
        <w:rPr>
          <w:sz w:val="22"/>
          <w:szCs w:val="23"/>
        </w:rPr>
      </w:pPr>
      <w:r w:rsidRPr="000B1C66">
        <w:rPr>
          <w:sz w:val="22"/>
          <w:szCs w:val="23"/>
        </w:rPr>
        <w:t>SIA</w:t>
      </w:r>
      <w:r>
        <w:rPr>
          <w:sz w:val="22"/>
          <w:szCs w:val="23"/>
        </w:rPr>
        <w:t xml:space="preserve"> „Austrumlatvijas koncertzāle” </w:t>
      </w:r>
      <w:r w:rsidRPr="000B1C66">
        <w:rPr>
          <w:sz w:val="22"/>
          <w:szCs w:val="23"/>
        </w:rPr>
        <w:t xml:space="preserve">valdes </w:t>
      </w:r>
      <w:r w:rsidR="0017193E">
        <w:rPr>
          <w:sz w:val="22"/>
          <w:szCs w:val="23"/>
        </w:rPr>
        <w:t>locekle</w:t>
      </w:r>
      <w:r w:rsidR="0017193E">
        <w:rPr>
          <w:sz w:val="22"/>
          <w:szCs w:val="23"/>
        </w:rPr>
        <w:tab/>
      </w:r>
      <w:r w:rsidR="0017193E">
        <w:rPr>
          <w:sz w:val="22"/>
          <w:szCs w:val="23"/>
        </w:rPr>
        <w:tab/>
      </w:r>
      <w:r w:rsidR="0017193E">
        <w:rPr>
          <w:sz w:val="22"/>
          <w:szCs w:val="23"/>
        </w:rPr>
        <w:tab/>
        <w:t>D.</w:t>
      </w:r>
      <w:r w:rsidRPr="000B1C66">
        <w:rPr>
          <w:sz w:val="22"/>
          <w:szCs w:val="23"/>
        </w:rPr>
        <w:t>Zirniņa</w:t>
      </w:r>
    </w:p>
    <w:p w:rsidR="0017193E" w:rsidRDefault="0017193E" w:rsidP="00B42FB6">
      <w:pPr>
        <w:pStyle w:val="Parasts1"/>
        <w:spacing w:line="276" w:lineRule="auto"/>
        <w:jc w:val="both"/>
        <w:rPr>
          <w:sz w:val="22"/>
          <w:szCs w:val="23"/>
        </w:rPr>
      </w:pPr>
    </w:p>
    <w:p w:rsidR="0017193E" w:rsidRPr="004E6D66" w:rsidRDefault="0017193E" w:rsidP="0017193E">
      <w:pPr>
        <w:pStyle w:val="Paraststmeklis1"/>
        <w:spacing w:before="0" w:beforeAutospacing="0" w:after="0" w:afterAutospacing="0"/>
        <w:jc w:val="both"/>
        <w:rPr>
          <w:rFonts w:ascii="Times New Roman" w:hAnsi="Times New Roman"/>
          <w:sz w:val="22"/>
          <w:szCs w:val="22"/>
        </w:rPr>
      </w:pPr>
      <w:r w:rsidRPr="004E6D66">
        <w:rPr>
          <w:rFonts w:ascii="Times New Roman" w:hAnsi="Times New Roman"/>
          <w:sz w:val="22"/>
          <w:szCs w:val="22"/>
        </w:rPr>
        <w:t>SIA „Austrumlatvijas koncertzāle”</w:t>
      </w:r>
    </w:p>
    <w:p w:rsidR="0017193E" w:rsidRPr="000B1C66" w:rsidRDefault="0017193E" w:rsidP="0017193E">
      <w:pPr>
        <w:pStyle w:val="Parasts1"/>
        <w:spacing w:line="276" w:lineRule="auto"/>
        <w:jc w:val="both"/>
        <w:rPr>
          <w:sz w:val="22"/>
          <w:szCs w:val="23"/>
        </w:rPr>
      </w:pPr>
      <w:r>
        <w:rPr>
          <w:sz w:val="22"/>
          <w:szCs w:val="22"/>
        </w:rPr>
        <w:t>G</w:t>
      </w:r>
      <w:r w:rsidRPr="004E6D66">
        <w:rPr>
          <w:sz w:val="22"/>
          <w:szCs w:val="22"/>
        </w:rPr>
        <w:t>rāmatvedības nodaļas vadītāja:</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4E6D66">
        <w:rPr>
          <w:sz w:val="22"/>
          <w:szCs w:val="22"/>
        </w:rPr>
        <w:t>M.Šmaukstele</w:t>
      </w:r>
    </w:p>
    <w:p w:rsidR="00B42FB6" w:rsidRPr="000B1C66" w:rsidRDefault="00B42FB6" w:rsidP="00B42FB6">
      <w:pPr>
        <w:pStyle w:val="Parasts1"/>
        <w:spacing w:line="276" w:lineRule="auto"/>
        <w:jc w:val="both"/>
        <w:rPr>
          <w:sz w:val="22"/>
          <w:szCs w:val="22"/>
        </w:rPr>
      </w:pPr>
      <w:r>
        <w:rPr>
          <w:sz w:val="22"/>
          <w:szCs w:val="23"/>
        </w:rPr>
        <w:t>30</w:t>
      </w:r>
      <w:r w:rsidRPr="000B1C66">
        <w:rPr>
          <w:sz w:val="22"/>
          <w:szCs w:val="23"/>
        </w:rPr>
        <w:t>.0</w:t>
      </w:r>
      <w:r>
        <w:rPr>
          <w:sz w:val="22"/>
          <w:szCs w:val="23"/>
        </w:rPr>
        <w:t>5</w:t>
      </w:r>
      <w:r w:rsidRPr="000B1C66">
        <w:rPr>
          <w:sz w:val="22"/>
          <w:szCs w:val="23"/>
        </w:rPr>
        <w:t>.2016.</w:t>
      </w:r>
    </w:p>
    <w:p w:rsidR="00B42FB6" w:rsidRPr="00B42FB6" w:rsidRDefault="00B42FB6" w:rsidP="00B42FB6">
      <w:pPr>
        <w:jc w:val="center"/>
        <w:rPr>
          <w:rFonts w:ascii="Times New Roman" w:hAnsi="Times New Roman" w:cs="Times New Roman"/>
          <w:b/>
          <w:sz w:val="24"/>
          <w:szCs w:val="24"/>
        </w:rPr>
      </w:pPr>
    </w:p>
    <w:sectPr w:rsidR="00B42FB6" w:rsidRPr="00B42FB6" w:rsidSect="00B42FB6">
      <w:pgSz w:w="11906" w:h="16838"/>
      <w:pgMar w:top="851"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enturyOldst TL">
    <w:panose1 w:val="02050503050705020204"/>
    <w:charset w:val="BA"/>
    <w:family w:val="roman"/>
    <w:pitch w:val="variable"/>
    <w:sig w:usb0="800002AF" w:usb1="5000204A" w:usb2="00000000" w:usb3="00000000" w:csb0="000000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C288C"/>
    <w:multiLevelType w:val="multilevel"/>
    <w:tmpl w:val="B4B075F2"/>
    <w:lvl w:ilvl="0">
      <w:start w:val="1"/>
      <w:numFmt w:val="decimal"/>
      <w:pStyle w:val="Galva"/>
      <w:lvlText w:val="%1."/>
      <w:lvlJc w:val="left"/>
      <w:pPr>
        <w:tabs>
          <w:tab w:val="num" w:pos="465"/>
        </w:tabs>
        <w:ind w:left="465" w:hanging="465"/>
      </w:pPr>
      <w:rPr>
        <w:rFonts w:hint="default"/>
      </w:rPr>
    </w:lvl>
    <w:lvl w:ilvl="1">
      <w:start w:val="1"/>
      <w:numFmt w:val="decimal"/>
      <w:pStyle w:val="Teksts"/>
      <w:lvlText w:val="%1.%2."/>
      <w:lvlJc w:val="left"/>
      <w:pPr>
        <w:tabs>
          <w:tab w:val="num" w:pos="720"/>
        </w:tabs>
        <w:ind w:left="720" w:hanging="720"/>
      </w:pPr>
      <w:rPr>
        <w:rFonts w:hint="default"/>
      </w:rPr>
    </w:lvl>
    <w:lvl w:ilvl="2">
      <w:start w:val="1"/>
      <w:numFmt w:val="decimal"/>
      <w:pStyle w:val="Apakteksts"/>
      <w:lvlText w:val="%1.%2.%3."/>
      <w:lvlJc w:val="left"/>
      <w:pPr>
        <w:tabs>
          <w:tab w:val="num" w:pos="720"/>
        </w:tabs>
        <w:ind w:left="720" w:hanging="720"/>
      </w:pPr>
      <w:rPr>
        <w:rFonts w:hint="default"/>
      </w:rPr>
    </w:lvl>
    <w:lvl w:ilvl="3">
      <w:start w:val="1"/>
      <w:numFmt w:val="decimal"/>
      <w:pStyle w:val="Apakteksts0"/>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FB6"/>
    <w:rsid w:val="000C01EB"/>
    <w:rsid w:val="000D72D5"/>
    <w:rsid w:val="0017193E"/>
    <w:rsid w:val="002409C8"/>
    <w:rsid w:val="00606037"/>
    <w:rsid w:val="008D2F0B"/>
    <w:rsid w:val="008F00B5"/>
    <w:rsid w:val="00B42FB6"/>
    <w:rsid w:val="00C93E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6CF199-4AA2-4B3F-ADF2-CE21FE262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s1">
    <w:name w:val="Parasts1"/>
    <w:rsid w:val="00B42FB6"/>
    <w:pPr>
      <w:spacing w:after="0" w:line="240" w:lineRule="auto"/>
    </w:pPr>
    <w:rPr>
      <w:rFonts w:ascii="Times New Roman" w:eastAsia="Times New Roman" w:hAnsi="Times New Roman" w:cs="Times New Roman"/>
      <w:sz w:val="24"/>
      <w:szCs w:val="24"/>
      <w:lang w:eastAsia="lv-LV"/>
    </w:rPr>
  </w:style>
  <w:style w:type="paragraph" w:customStyle="1" w:styleId="Teksts">
    <w:name w:val="Teksts"/>
    <w:basedOn w:val="Parasts1"/>
    <w:rsid w:val="008D2F0B"/>
    <w:pPr>
      <w:numPr>
        <w:ilvl w:val="1"/>
        <w:numId w:val="1"/>
      </w:numPr>
      <w:jc w:val="both"/>
    </w:pPr>
    <w:rPr>
      <w:rFonts w:ascii="CenturyOldst TL" w:hAnsi="CenturyOldst TL"/>
      <w:szCs w:val="20"/>
      <w:lang w:eastAsia="en-US"/>
    </w:rPr>
  </w:style>
  <w:style w:type="paragraph" w:customStyle="1" w:styleId="Apakteksts">
    <w:name w:val="Apakšteksts"/>
    <w:basedOn w:val="Parasts1"/>
    <w:rsid w:val="008D2F0B"/>
    <w:pPr>
      <w:numPr>
        <w:ilvl w:val="2"/>
        <w:numId w:val="1"/>
      </w:numPr>
      <w:tabs>
        <w:tab w:val="clear" w:pos="720"/>
        <w:tab w:val="num" w:pos="1134"/>
      </w:tabs>
      <w:ind w:left="1134"/>
      <w:jc w:val="both"/>
    </w:pPr>
    <w:rPr>
      <w:rFonts w:ascii="CenturyOldst TL" w:hAnsi="CenturyOldst TL"/>
      <w:szCs w:val="20"/>
      <w:lang w:eastAsia="en-US"/>
    </w:rPr>
  </w:style>
  <w:style w:type="paragraph" w:customStyle="1" w:styleId="Galva">
    <w:name w:val="Galva"/>
    <w:basedOn w:val="Parasts1"/>
    <w:rsid w:val="008D2F0B"/>
    <w:pPr>
      <w:numPr>
        <w:numId w:val="1"/>
      </w:numPr>
      <w:jc w:val="center"/>
    </w:pPr>
    <w:rPr>
      <w:rFonts w:ascii="CenturyOldst TL" w:hAnsi="CenturyOldst TL"/>
      <w:b/>
      <w:sz w:val="28"/>
      <w:szCs w:val="20"/>
      <w:lang w:eastAsia="en-US"/>
    </w:rPr>
  </w:style>
  <w:style w:type="paragraph" w:customStyle="1" w:styleId="Apakteksts0">
    <w:name w:val="ĀApakšteksts"/>
    <w:basedOn w:val="Apakteksts"/>
    <w:rsid w:val="008D2F0B"/>
    <w:pPr>
      <w:numPr>
        <w:ilvl w:val="3"/>
      </w:numPr>
      <w:tabs>
        <w:tab w:val="clear" w:pos="1080"/>
        <w:tab w:val="num" w:pos="360"/>
        <w:tab w:val="num" w:pos="2694"/>
      </w:tabs>
      <w:ind w:left="2694" w:hanging="1276"/>
    </w:pPr>
  </w:style>
  <w:style w:type="paragraph" w:customStyle="1" w:styleId="Paraststmeklis1">
    <w:name w:val="Parasts (tīmeklis)1"/>
    <w:basedOn w:val="Parasts1"/>
    <w:rsid w:val="0017193E"/>
    <w:pPr>
      <w:spacing w:before="100" w:beforeAutospacing="1" w:after="100" w:afterAutospacing="1"/>
    </w:pPr>
    <w:rPr>
      <w:rFonts w:ascii="Verdana" w:hAnsi="Verdana"/>
      <w:sz w:val="20"/>
      <w:szCs w:val="20"/>
    </w:rPr>
  </w:style>
  <w:style w:type="paragraph" w:styleId="BalloonText">
    <w:name w:val="Balloon Text"/>
    <w:basedOn w:val="Normal"/>
    <w:link w:val="BalloonTextChar"/>
    <w:uiPriority w:val="99"/>
    <w:semiHidden/>
    <w:unhideWhenUsed/>
    <w:rsid w:val="000C01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1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5F614-1DCA-46F3-8944-576A1E307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7709</Words>
  <Characters>4395</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MariteSm</dc:creator>
  <cp:keywords/>
  <dc:description/>
  <cp:lastModifiedBy>MariteSm</cp:lastModifiedBy>
  <cp:revision>8</cp:revision>
  <cp:lastPrinted>2016-05-27T08:47:00Z</cp:lastPrinted>
  <dcterms:created xsi:type="dcterms:W3CDTF">2016-05-27T08:13:00Z</dcterms:created>
  <dcterms:modified xsi:type="dcterms:W3CDTF">2016-05-27T11:41:00Z</dcterms:modified>
</cp:coreProperties>
</file>